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3EFB8" w14:textId="77777777" w:rsidR="003160E9" w:rsidRPr="008043C9" w:rsidRDefault="003160E9" w:rsidP="006A622D">
      <w:pPr>
        <w:pStyle w:val="JenisArtikel"/>
        <w:suppressAutoHyphens/>
        <w:rPr>
          <w:rFonts w:ascii="Cambria" w:hAnsi="Cambria"/>
          <w:kern w:val="16"/>
          <w:sz w:val="18"/>
          <w:szCs w:val="24"/>
        </w:rPr>
      </w:pPr>
      <w:r w:rsidRPr="008043C9">
        <w:rPr>
          <w:rFonts w:ascii="Cambria" w:hAnsi="Cambria"/>
          <w:kern w:val="16"/>
          <w:sz w:val="18"/>
          <w:szCs w:val="24"/>
        </w:rPr>
        <w:t>Research Article</w:t>
      </w:r>
    </w:p>
    <w:p w14:paraId="363024B6" w14:textId="77777777" w:rsidR="003160E9" w:rsidRPr="008043C9" w:rsidRDefault="003160E9" w:rsidP="006A622D">
      <w:pPr>
        <w:suppressAutoHyphens/>
        <w:spacing w:after="120"/>
        <w:rPr>
          <w:rFonts w:ascii="Cambria" w:hAnsi="Cambria"/>
          <w:b/>
          <w:bCs/>
          <w:kern w:val="16"/>
          <w:sz w:val="4"/>
          <w:szCs w:val="4"/>
        </w:rPr>
      </w:pPr>
    </w:p>
    <w:p w14:paraId="321CC9B6" w14:textId="694BCD29" w:rsidR="001F39B6" w:rsidRPr="008043C9" w:rsidRDefault="001F39B6" w:rsidP="00CD13C6">
      <w:pPr>
        <w:pStyle w:val="JudulArtikel"/>
      </w:pPr>
      <w:r w:rsidRPr="008043C9">
        <w:t>Prevalence of Taurodontism Based on Panoramic Radiography at Saraswati Dental Hospital</w:t>
      </w:r>
    </w:p>
    <w:p w14:paraId="7C552892" w14:textId="12942CCD" w:rsidR="001F39B6" w:rsidRPr="008043C9" w:rsidRDefault="001F39B6" w:rsidP="00CD13C6">
      <w:pPr>
        <w:pStyle w:val="Penulis"/>
      </w:pPr>
      <w:r w:rsidRPr="008043C9">
        <w:rPr>
          <w:vertAlign w:val="superscript"/>
        </w:rPr>
        <w:t>1</w:t>
      </w:r>
      <w:r w:rsidRPr="008043C9">
        <w:t xml:space="preserve">I Putu Gede Andyka Yasa, </w:t>
      </w:r>
      <w:r w:rsidRPr="008043C9">
        <w:rPr>
          <w:vertAlign w:val="superscript"/>
        </w:rPr>
        <w:t>1</w:t>
      </w:r>
      <w:r w:rsidRPr="008043C9">
        <w:t xml:space="preserve">I Dewa Ayu Nuraini Sulistiawati, </w:t>
      </w:r>
      <w:r w:rsidRPr="008043C9">
        <w:rPr>
          <w:vertAlign w:val="superscript"/>
        </w:rPr>
        <w:t>1</w:t>
      </w:r>
      <w:r w:rsidRPr="008043C9">
        <w:t xml:space="preserve">Haris Nasutianto, </w:t>
      </w:r>
      <w:r w:rsidRPr="008043C9">
        <w:rPr>
          <w:vertAlign w:val="superscript"/>
        </w:rPr>
        <w:t>1</w:t>
      </w:r>
      <w:r w:rsidRPr="008043C9">
        <w:t xml:space="preserve">Ni Kadek Ari Astuti, </w:t>
      </w:r>
      <w:r w:rsidRPr="008043C9">
        <w:rPr>
          <w:vertAlign w:val="superscript"/>
        </w:rPr>
        <w:t>1</w:t>
      </w:r>
      <w:r w:rsidRPr="008043C9">
        <w:t xml:space="preserve">Anak Agung Kompyang Martini, </w:t>
      </w:r>
      <w:r w:rsidRPr="008043C9">
        <w:rPr>
          <w:vertAlign w:val="superscript"/>
        </w:rPr>
        <w:t>1</w:t>
      </w:r>
      <w:r w:rsidRPr="008043C9">
        <w:t xml:space="preserve">Anak Agung Istri Agung Feranasari, </w:t>
      </w:r>
      <w:r w:rsidRPr="008043C9">
        <w:rPr>
          <w:vertAlign w:val="superscript"/>
        </w:rPr>
        <w:t>1</w:t>
      </w:r>
      <w:r w:rsidRPr="008043C9">
        <w:t xml:space="preserve">Made Agus Astika, </w:t>
      </w:r>
      <w:r w:rsidRPr="008043C9">
        <w:rPr>
          <w:vertAlign w:val="superscript"/>
        </w:rPr>
        <w:t>2</w:t>
      </w:r>
      <w:r w:rsidRPr="008043C9">
        <w:t>Made Krisna Pramudita Wardana </w:t>
      </w:r>
    </w:p>
    <w:p w14:paraId="437B0438" w14:textId="77777777" w:rsidR="001F39B6" w:rsidRPr="008043C9" w:rsidRDefault="001F39B6" w:rsidP="00CD13C6">
      <w:pPr>
        <w:pStyle w:val="Korespondensi"/>
        <w:rPr>
          <w:lang w:val="en-US"/>
        </w:rPr>
      </w:pPr>
      <w:r w:rsidRPr="008043C9">
        <w:rPr>
          <w:vertAlign w:val="superscript"/>
          <w:lang w:val="en-US"/>
        </w:rPr>
        <w:t>1</w:t>
      </w:r>
      <w:r w:rsidRPr="008043C9">
        <w:rPr>
          <w:lang w:val="en-US"/>
        </w:rPr>
        <w:t xml:space="preserve"> </w:t>
      </w:r>
      <w:r w:rsidRPr="008043C9">
        <w:rPr>
          <w:lang w:val="en-US"/>
        </w:rPr>
        <w:t>Department of Dental Radiology, Faculty of Dentistry, Universitas Mahasaraswati Denpasar, Denpasar, Indonesia</w:t>
      </w:r>
    </w:p>
    <w:p w14:paraId="3BA930D8" w14:textId="41CBD36E" w:rsidR="006A4227" w:rsidRPr="008043C9" w:rsidRDefault="006A4227" w:rsidP="00CD13C6">
      <w:pPr>
        <w:pStyle w:val="Korespondensi"/>
        <w:rPr>
          <w:lang w:val="en-US"/>
        </w:rPr>
      </w:pPr>
      <w:r w:rsidRPr="008043C9">
        <w:rPr>
          <w:vertAlign w:val="superscript"/>
          <w:lang w:val="en-US"/>
        </w:rPr>
        <w:t>2</w:t>
      </w:r>
      <w:r w:rsidRPr="008043C9">
        <w:rPr>
          <w:lang w:val="en-US"/>
        </w:rPr>
        <w:t xml:space="preserve"> Undergraduate Student, Bachelor of Dental Education Program, Faculty of Dentistry, Universitas Mahasaraswati Denpasar, Indonesia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3020"/>
        <w:gridCol w:w="3026"/>
      </w:tblGrid>
      <w:tr w:rsidR="003160E9" w:rsidRPr="008043C9" w14:paraId="71749A46" w14:textId="77777777" w:rsidTr="00162375">
        <w:tc>
          <w:tcPr>
            <w:tcW w:w="1665" w:type="pct"/>
          </w:tcPr>
          <w:p w14:paraId="4E3F8A22" w14:textId="00BC0E5E" w:rsidR="003160E9" w:rsidRPr="008043C9" w:rsidRDefault="003160E9" w:rsidP="006A622D">
            <w:pPr>
              <w:pStyle w:val="JadwalPublish"/>
              <w:suppressAutoHyphens/>
              <w:spacing w:before="120"/>
              <w:rPr>
                <w:kern w:val="16"/>
                <w:szCs w:val="18"/>
              </w:rPr>
            </w:pPr>
            <w:r w:rsidRPr="008043C9">
              <w:rPr>
                <w:kern w:val="16"/>
                <w:szCs w:val="18"/>
              </w:rPr>
              <w:t xml:space="preserve">Received date: </w:t>
            </w:r>
            <w:r w:rsidR="005674F7" w:rsidRPr="008043C9">
              <w:rPr>
                <w:kern w:val="16"/>
                <w:szCs w:val="18"/>
              </w:rPr>
              <w:t>November 13, 2025</w:t>
            </w:r>
          </w:p>
        </w:tc>
        <w:tc>
          <w:tcPr>
            <w:tcW w:w="1666" w:type="pct"/>
          </w:tcPr>
          <w:p w14:paraId="76A30953" w14:textId="78F2B0AE" w:rsidR="003160E9" w:rsidRPr="008043C9" w:rsidRDefault="003160E9" w:rsidP="006A622D">
            <w:pPr>
              <w:pStyle w:val="JadwalPublish"/>
              <w:suppressAutoHyphens/>
              <w:spacing w:before="120"/>
              <w:jc w:val="center"/>
              <w:rPr>
                <w:kern w:val="16"/>
                <w:szCs w:val="18"/>
              </w:rPr>
            </w:pPr>
            <w:r w:rsidRPr="008043C9">
              <w:rPr>
                <w:kern w:val="16"/>
                <w:szCs w:val="18"/>
              </w:rPr>
              <w:t>Accepted date</w:t>
            </w:r>
            <w:r w:rsidR="008C32FC" w:rsidRPr="008043C9">
              <w:rPr>
                <w:kern w:val="16"/>
                <w:szCs w:val="18"/>
              </w:rPr>
              <w:t xml:space="preserve">: </w:t>
            </w:r>
            <w:r w:rsidR="005674F7" w:rsidRPr="008043C9">
              <w:rPr>
                <w:kern w:val="16"/>
                <w:szCs w:val="18"/>
              </w:rPr>
              <w:t>April 26, 2026</w:t>
            </w:r>
          </w:p>
        </w:tc>
        <w:tc>
          <w:tcPr>
            <w:tcW w:w="1669" w:type="pct"/>
          </w:tcPr>
          <w:p w14:paraId="67A9A039" w14:textId="28E8BA77" w:rsidR="003160E9" w:rsidRPr="008043C9" w:rsidRDefault="003160E9" w:rsidP="006A622D">
            <w:pPr>
              <w:pStyle w:val="JadwalPublish"/>
              <w:suppressAutoHyphens/>
              <w:spacing w:before="120"/>
              <w:jc w:val="right"/>
              <w:rPr>
                <w:kern w:val="16"/>
                <w:szCs w:val="18"/>
              </w:rPr>
            </w:pPr>
            <w:r w:rsidRPr="008043C9">
              <w:rPr>
                <w:kern w:val="16"/>
                <w:szCs w:val="18"/>
              </w:rPr>
              <w:t xml:space="preserve">Published date: </w:t>
            </w:r>
            <w:r w:rsidR="00F82519" w:rsidRPr="008043C9">
              <w:rPr>
                <w:kern w:val="16"/>
                <w:szCs w:val="18"/>
              </w:rPr>
              <w:t xml:space="preserve">April </w:t>
            </w:r>
            <w:r w:rsidR="0083034D" w:rsidRPr="008043C9">
              <w:rPr>
                <w:kern w:val="16"/>
                <w:szCs w:val="18"/>
              </w:rPr>
              <w:t>30</w:t>
            </w:r>
            <w:r w:rsidR="00D03DA7" w:rsidRPr="008043C9">
              <w:rPr>
                <w:kern w:val="16"/>
                <w:szCs w:val="18"/>
              </w:rPr>
              <w:t>,</w:t>
            </w:r>
            <w:r w:rsidRPr="008043C9">
              <w:rPr>
                <w:kern w:val="16"/>
                <w:szCs w:val="18"/>
              </w:rPr>
              <w:t xml:space="preserve"> 202</w:t>
            </w:r>
            <w:r w:rsidR="00F82519" w:rsidRPr="008043C9">
              <w:rPr>
                <w:kern w:val="16"/>
                <w:szCs w:val="18"/>
              </w:rPr>
              <w:t>6</w:t>
            </w:r>
          </w:p>
        </w:tc>
      </w:tr>
    </w:tbl>
    <w:p w14:paraId="09CB5F5D" w14:textId="77777777" w:rsidR="00E76A03" w:rsidRPr="008043C9" w:rsidRDefault="00E76A03" w:rsidP="006A622D">
      <w:pPr>
        <w:suppressAutoHyphens/>
        <w:rPr>
          <w:rFonts w:ascii="Cambria" w:hAnsi="Cambria"/>
          <w:kern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0"/>
        <w:gridCol w:w="5864"/>
      </w:tblGrid>
      <w:tr w:rsidR="00645166" w:rsidRPr="008043C9" w14:paraId="2E6DA3D3" w14:textId="77777777" w:rsidTr="00645166">
        <w:trPr>
          <w:trHeight w:val="20"/>
        </w:trPr>
        <w:tc>
          <w:tcPr>
            <w:tcW w:w="1765" w:type="pct"/>
          </w:tcPr>
          <w:p w14:paraId="5A1633BF" w14:textId="77777777" w:rsidR="00521CA8" w:rsidRPr="008043C9" w:rsidRDefault="00521CA8" w:rsidP="006A622D">
            <w:pPr>
              <w:pStyle w:val="JudulKataKunci"/>
              <w:suppressAutoHyphens/>
              <w:rPr>
                <w:kern w:val="16"/>
              </w:rPr>
            </w:pPr>
            <w:r w:rsidRPr="008043C9">
              <w:rPr>
                <w:kern w:val="16"/>
              </w:rPr>
              <w:t>KEYWORDS</w:t>
            </w:r>
          </w:p>
          <w:p w14:paraId="4A53C612" w14:textId="4E401048" w:rsidR="00D9081B" w:rsidRPr="008043C9" w:rsidRDefault="001F39B6" w:rsidP="006A622D">
            <w:pPr>
              <w:pStyle w:val="KataKunci"/>
              <w:suppressAutoHyphens/>
              <w:rPr>
                <w:color w:val="4472C4" w:themeColor="accent1"/>
                <w:kern w:val="16"/>
              </w:rPr>
            </w:pPr>
            <w:r w:rsidRPr="008043C9">
              <w:rPr>
                <w:kern w:val="16"/>
              </w:rPr>
              <w:t>Panoramic radiography, taurodontism, prevalence, dental anomalies, oral radiology</w:t>
            </w:r>
          </w:p>
          <w:p w14:paraId="308B89BC" w14:textId="77777777" w:rsidR="00D9081B" w:rsidRPr="008043C9" w:rsidRDefault="00D9081B" w:rsidP="006A622D">
            <w:pPr>
              <w:pStyle w:val="KataKunci"/>
              <w:suppressAutoHyphens/>
              <w:rPr>
                <w:color w:val="4472C4" w:themeColor="accent1"/>
                <w:kern w:val="16"/>
              </w:rPr>
            </w:pPr>
          </w:p>
          <w:p w14:paraId="673D9EA5" w14:textId="77777777" w:rsidR="00D9081B" w:rsidRPr="008043C9" w:rsidRDefault="00D9081B" w:rsidP="006A622D">
            <w:pPr>
              <w:pStyle w:val="KataKunci"/>
              <w:suppressAutoHyphens/>
              <w:rPr>
                <w:color w:val="4472C4" w:themeColor="accent1"/>
                <w:kern w:val="16"/>
              </w:rPr>
            </w:pPr>
          </w:p>
          <w:p w14:paraId="7E7B935B" w14:textId="77777777" w:rsidR="00D9081B" w:rsidRPr="008043C9" w:rsidRDefault="00D9081B" w:rsidP="006A622D">
            <w:pPr>
              <w:pStyle w:val="KataKunci"/>
              <w:suppressAutoHyphens/>
              <w:rPr>
                <w:color w:val="4472C4" w:themeColor="accent1"/>
                <w:kern w:val="16"/>
              </w:rPr>
            </w:pPr>
          </w:p>
          <w:p w14:paraId="1122B56D" w14:textId="77777777" w:rsidR="00BB6F17" w:rsidRPr="008043C9" w:rsidRDefault="00BB6F17" w:rsidP="006A622D">
            <w:pPr>
              <w:pStyle w:val="KataKunci"/>
              <w:suppressAutoHyphens/>
              <w:rPr>
                <w:color w:val="4472C4" w:themeColor="accent1"/>
                <w:kern w:val="16"/>
              </w:rPr>
            </w:pPr>
          </w:p>
          <w:p w14:paraId="1EDEB634" w14:textId="77777777" w:rsidR="0083034D" w:rsidRPr="008043C9" w:rsidRDefault="0083034D" w:rsidP="006A622D">
            <w:pPr>
              <w:pStyle w:val="KataKunci"/>
              <w:suppressAutoHyphens/>
              <w:rPr>
                <w:color w:val="4472C4" w:themeColor="accent1"/>
                <w:kern w:val="16"/>
              </w:rPr>
            </w:pPr>
          </w:p>
          <w:p w14:paraId="5583FA44" w14:textId="63073519" w:rsidR="000D07B8" w:rsidRPr="008043C9" w:rsidRDefault="001F39B6" w:rsidP="00D9081B">
            <w:pPr>
              <w:pStyle w:val="KataKunci"/>
              <w:suppressAutoHyphens/>
              <w:jc w:val="center"/>
              <w:rPr>
                <w:color w:val="4472C4" w:themeColor="accent1"/>
                <w:kern w:val="16"/>
              </w:rPr>
            </w:pPr>
            <w:r w:rsidRPr="008043C9">
              <w:rPr>
                <w:color w:val="4472C4" w:themeColor="accent1"/>
                <w:kern w:val="16"/>
              </w:rPr>
              <w:drawing>
                <wp:inline distT="0" distB="0" distL="0" distR="0" wp14:anchorId="268CE7EF" wp14:editId="37707321">
                  <wp:extent cx="1162050" cy="1162050"/>
                  <wp:effectExtent l="0" t="0" r="0" b="0"/>
                  <wp:docPr id="1584736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736607" name=""/>
                          <pic:cNvPicPr/>
                        </pic:nvPicPr>
                        <pic:blipFill>
                          <a:blip r:embed="rId8">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17D77D31" w14:textId="22A33257" w:rsidR="00645166" w:rsidRPr="008043C9" w:rsidRDefault="00645166" w:rsidP="006A622D">
            <w:pPr>
              <w:pStyle w:val="DOI"/>
              <w:suppressAutoHyphens/>
              <w:rPr>
                <w:kern w:val="16"/>
                <w:szCs w:val="18"/>
              </w:rPr>
            </w:pPr>
            <w:r w:rsidRPr="008043C9">
              <w:rPr>
                <w:kern w:val="16"/>
                <w:szCs w:val="18"/>
              </w:rPr>
              <w:t>DOI:</w:t>
            </w:r>
            <w:r w:rsidR="00FF2C0F" w:rsidRPr="008043C9">
              <w:rPr>
                <w:kern w:val="16"/>
                <w:szCs w:val="18"/>
              </w:rPr>
              <w:t xml:space="preserve"> </w:t>
            </w:r>
            <w:r w:rsidR="001F39B6" w:rsidRPr="008043C9">
              <w:rPr>
                <w:kern w:val="16"/>
                <w:szCs w:val="18"/>
              </w:rPr>
              <w:t>10.46862/interdental.v22i1.12993</w:t>
            </w:r>
          </w:p>
          <w:p w14:paraId="4FF782CC" w14:textId="084FC2D1" w:rsidR="006E5B41" w:rsidRPr="008043C9" w:rsidRDefault="006E5B41" w:rsidP="006A622D">
            <w:pPr>
              <w:suppressAutoHyphens/>
              <w:rPr>
                <w:rFonts w:ascii="Cambria" w:hAnsi="Cambria" w:cs="Calibri"/>
                <w:b/>
                <w:bCs/>
                <w:kern w:val="16"/>
                <w:sz w:val="16"/>
                <w:szCs w:val="16"/>
              </w:rPr>
            </w:pPr>
          </w:p>
        </w:tc>
        <w:tc>
          <w:tcPr>
            <w:tcW w:w="3235" w:type="pct"/>
            <w:tcBorders>
              <w:top w:val="single" w:sz="2" w:space="0" w:color="4472C4" w:themeColor="accent1"/>
              <w:bottom w:val="single" w:sz="2" w:space="0" w:color="4472C4" w:themeColor="accent1"/>
            </w:tcBorders>
          </w:tcPr>
          <w:p w14:paraId="70C5EED0" w14:textId="77777777" w:rsidR="00521CA8" w:rsidRPr="008043C9" w:rsidRDefault="00521CA8" w:rsidP="006A622D">
            <w:pPr>
              <w:pStyle w:val="JudulAbstrak"/>
              <w:suppressAutoHyphens/>
              <w:rPr>
                <w:kern w:val="16"/>
              </w:rPr>
            </w:pPr>
            <w:r w:rsidRPr="008043C9">
              <w:rPr>
                <w:kern w:val="16"/>
              </w:rPr>
              <w:t>ABSTRACT</w:t>
            </w:r>
          </w:p>
          <w:p w14:paraId="7467A030" w14:textId="77777777" w:rsidR="00521CA8" w:rsidRPr="008043C9" w:rsidRDefault="00521CA8" w:rsidP="006A622D">
            <w:pPr>
              <w:pStyle w:val="Abstsrak"/>
              <w:suppressAutoHyphens/>
              <w:rPr>
                <w:b/>
                <w:color w:val="4472C4" w:themeColor="accent1"/>
                <w:kern w:val="16"/>
                <w:sz w:val="10"/>
                <w:szCs w:val="10"/>
                <w:lang w:val="en-US"/>
              </w:rPr>
            </w:pPr>
          </w:p>
          <w:p w14:paraId="4BCD6BBD" w14:textId="77777777" w:rsidR="005674F7" w:rsidRPr="008043C9" w:rsidRDefault="005674F7" w:rsidP="005674F7">
            <w:pPr>
              <w:pStyle w:val="Abstsrak"/>
              <w:rPr>
                <w:lang w:val="en-US"/>
              </w:rPr>
            </w:pPr>
            <w:r w:rsidRPr="008043C9">
              <w:rPr>
                <w:b/>
                <w:bCs w:val="0"/>
                <w:color w:val="4472C4" w:themeColor="accent1"/>
                <w:lang w:val="en-US"/>
              </w:rPr>
              <w:t>Introduction:</w:t>
            </w:r>
            <w:r w:rsidRPr="008043C9">
              <w:rPr>
                <w:color w:val="4472C4" w:themeColor="accent1"/>
                <w:lang w:val="en-US"/>
              </w:rPr>
              <w:t xml:space="preserve"> </w:t>
            </w:r>
            <w:r w:rsidRPr="008043C9">
              <w:rPr>
                <w:lang w:val="en-US"/>
              </w:rPr>
              <w:t>Taurodontism is a dental anomaly characterized by an elongated pulp chamber and apically displaced furcation, usually detected radiographically. Early identification is important because it may affect treatment planning. This study aimed to determine the prevalence of taurodontism on panoramic radiographs at Saraswati Dental Hospital.</w:t>
            </w:r>
          </w:p>
          <w:p w14:paraId="162D0774" w14:textId="77777777" w:rsidR="005674F7" w:rsidRPr="008043C9" w:rsidRDefault="005674F7" w:rsidP="005674F7">
            <w:pPr>
              <w:pStyle w:val="Abstsrak"/>
              <w:rPr>
                <w:lang w:val="en-US"/>
              </w:rPr>
            </w:pPr>
            <w:r w:rsidRPr="008043C9">
              <w:rPr>
                <w:b/>
                <w:bCs w:val="0"/>
                <w:color w:val="4472C4" w:themeColor="accent1"/>
                <w:lang w:val="en-US"/>
              </w:rPr>
              <w:t>Materials and Methods:</w:t>
            </w:r>
            <w:r w:rsidRPr="008043C9">
              <w:rPr>
                <w:color w:val="4472C4" w:themeColor="accent1"/>
                <w:lang w:val="en-US"/>
              </w:rPr>
              <w:t xml:space="preserve"> </w:t>
            </w:r>
            <w:r w:rsidRPr="008043C9">
              <w:rPr>
                <w:lang w:val="en-US"/>
              </w:rPr>
              <w:t>This descriptive cross-sectional study included all panoramic radiographs taken from September 2021 to September 2024. Radiographs with good diagnostic quality, patients aged ≥12 years, and clearly visible molars were included. Crown body length (CB) and root length (R) were measured using Cliniview® based on Shaw’s method to calculate the CB/R ratio and classify taurodontism. Measurements were performed independently by three oral and maxillofacial radiologists. Data were analyzed descriptively.</w:t>
            </w:r>
          </w:p>
          <w:p w14:paraId="4BEC681F" w14:textId="75978CDC" w:rsidR="005674F7" w:rsidRPr="008043C9" w:rsidRDefault="005674F7" w:rsidP="005674F7">
            <w:pPr>
              <w:pStyle w:val="Abstsrak"/>
              <w:rPr>
                <w:lang w:val="en-US"/>
              </w:rPr>
            </w:pPr>
            <w:r w:rsidRPr="008043C9">
              <w:rPr>
                <w:rFonts w:eastAsia="Times New Roman"/>
                <w:b/>
                <w:bCs w:val="0"/>
                <w:iCs/>
                <w:color w:val="4472C4" w:themeColor="accent1"/>
                <w:lang w:val="en-US"/>
              </w:rPr>
              <w:t>Results and Discussion:</w:t>
            </w:r>
            <w:r w:rsidRPr="008043C9">
              <w:rPr>
                <w:rFonts w:eastAsia="Times New Roman"/>
                <w:iCs/>
                <w:color w:val="4472C4" w:themeColor="accent1"/>
                <w:lang w:val="en-US"/>
              </w:rPr>
              <w:t xml:space="preserve"> </w:t>
            </w:r>
            <w:r w:rsidRPr="008043C9">
              <w:rPr>
                <w:lang w:val="en-US"/>
              </w:rPr>
              <w:t>Of 3,289 panoramic radiographs, 106 taurodontism cases were identified (3.22%). Most cases occurred in adolescents aged 12–25 years (75.47%) and in the mandible (81.14%). Among 220 affected teeth, mandibular second molars were most frequently involved (64.55%). Hypotaurodontism was the most common subtype (66.37%).</w:t>
            </w:r>
          </w:p>
          <w:p w14:paraId="371B53E1" w14:textId="4996E07E" w:rsidR="000D07B8" w:rsidRPr="008043C9" w:rsidRDefault="005674F7" w:rsidP="005674F7">
            <w:pPr>
              <w:pStyle w:val="Abstsrak"/>
              <w:rPr>
                <w:rFonts w:eastAsia="Times New Roman"/>
                <w:iCs/>
                <w:color w:val="000000"/>
                <w:kern w:val="16"/>
                <w:lang w:val="en-US"/>
              </w:rPr>
            </w:pPr>
            <w:r w:rsidRPr="008043C9">
              <w:rPr>
                <w:b/>
                <w:bCs w:val="0"/>
                <w:color w:val="4472C4" w:themeColor="accent1"/>
                <w:lang w:val="en-US"/>
              </w:rPr>
              <w:t>Conclusion:</w:t>
            </w:r>
            <w:r w:rsidRPr="008043C9">
              <w:rPr>
                <w:color w:val="4472C4" w:themeColor="accent1"/>
                <w:lang w:val="en-US"/>
              </w:rPr>
              <w:t xml:space="preserve"> </w:t>
            </w:r>
            <w:r w:rsidRPr="008043C9">
              <w:rPr>
                <w:lang w:val="en-US"/>
              </w:rPr>
              <w:t>Taurodontism prevalence was 3.22%, predominantly affecting adolescents, the mandible, and the hypotaurodontism subtype. Early radiographic detection is important for effective dental management.</w:t>
            </w:r>
          </w:p>
        </w:tc>
      </w:tr>
      <w:tr w:rsidR="00645166" w:rsidRPr="008043C9" w14:paraId="1A882C28" w14:textId="77777777" w:rsidTr="00645166">
        <w:trPr>
          <w:trHeight w:val="20"/>
        </w:trPr>
        <w:tc>
          <w:tcPr>
            <w:tcW w:w="1765" w:type="pct"/>
          </w:tcPr>
          <w:p w14:paraId="5054F7E6" w14:textId="77777777" w:rsidR="007E130B" w:rsidRPr="008043C9" w:rsidRDefault="007E130B" w:rsidP="006A622D">
            <w:pPr>
              <w:suppressAutoHyphens/>
              <w:jc w:val="both"/>
              <w:rPr>
                <w:rFonts w:ascii="Cambria" w:hAnsi="Cambria" w:cs="Times New Roman"/>
                <w:b/>
                <w:bCs/>
                <w:color w:val="009999"/>
                <w:kern w:val="16"/>
                <w:sz w:val="22"/>
                <w:szCs w:val="22"/>
              </w:rPr>
            </w:pPr>
          </w:p>
        </w:tc>
        <w:tc>
          <w:tcPr>
            <w:tcW w:w="3235" w:type="pct"/>
            <w:tcBorders>
              <w:top w:val="single" w:sz="2" w:space="0" w:color="4472C4" w:themeColor="accent1"/>
            </w:tcBorders>
          </w:tcPr>
          <w:p w14:paraId="66B7215F" w14:textId="77777777" w:rsidR="007E130B" w:rsidRPr="008043C9" w:rsidRDefault="007E130B" w:rsidP="006A622D">
            <w:pPr>
              <w:suppressAutoHyphens/>
              <w:rPr>
                <w:rFonts w:ascii="Cambria" w:hAnsi="Cambria" w:cs="Times New Roman"/>
                <w:b/>
                <w:bCs/>
                <w:color w:val="4472C4" w:themeColor="accent1"/>
                <w:kern w:val="16"/>
              </w:rPr>
            </w:pPr>
          </w:p>
        </w:tc>
      </w:tr>
      <w:tr w:rsidR="00FF2C0F" w:rsidRPr="008043C9" w14:paraId="2D9C98FC" w14:textId="77777777" w:rsidTr="00645166">
        <w:trPr>
          <w:trHeight w:val="20"/>
        </w:trPr>
        <w:tc>
          <w:tcPr>
            <w:tcW w:w="1765" w:type="pct"/>
          </w:tcPr>
          <w:p w14:paraId="29571F56" w14:textId="77777777" w:rsidR="007E130B" w:rsidRPr="008043C9" w:rsidRDefault="007E130B" w:rsidP="006A622D">
            <w:pPr>
              <w:suppressAutoHyphens/>
              <w:jc w:val="both"/>
              <w:rPr>
                <w:rFonts w:ascii="Cambria" w:hAnsi="Cambria" w:cs="Times New Roman"/>
                <w:b/>
                <w:bCs/>
                <w:color w:val="009999"/>
                <w:kern w:val="16"/>
                <w:sz w:val="16"/>
                <w:szCs w:val="16"/>
              </w:rPr>
            </w:pPr>
          </w:p>
        </w:tc>
        <w:tc>
          <w:tcPr>
            <w:tcW w:w="3235" w:type="pct"/>
          </w:tcPr>
          <w:p w14:paraId="2A2ED12B" w14:textId="77777777" w:rsidR="007E130B" w:rsidRPr="008043C9" w:rsidRDefault="007E130B" w:rsidP="006A622D">
            <w:pPr>
              <w:pStyle w:val="JudulCorrespondingAuthor"/>
              <w:suppressAutoHyphens/>
              <w:rPr>
                <w:kern w:val="16"/>
                <w:lang w:val="en-US"/>
              </w:rPr>
            </w:pPr>
            <w:r w:rsidRPr="008043C9">
              <w:rPr>
                <w:kern w:val="16"/>
                <w:lang w:val="en-US"/>
              </w:rPr>
              <w:t>Corresponding Author:</w:t>
            </w:r>
          </w:p>
          <w:p w14:paraId="04730F3A" w14:textId="77777777" w:rsidR="001F39B6" w:rsidRPr="008043C9" w:rsidRDefault="001F39B6" w:rsidP="006A622D">
            <w:pPr>
              <w:pStyle w:val="IsiCorrespondingAuthor"/>
              <w:suppressAutoHyphens/>
              <w:rPr>
                <w:kern w:val="16"/>
                <w:lang w:val="en-US"/>
              </w:rPr>
            </w:pPr>
            <w:r w:rsidRPr="008043C9">
              <w:rPr>
                <w:kern w:val="16"/>
                <w:lang w:val="en-US"/>
              </w:rPr>
              <w:t>I Putu Gede Andyka Yasa</w:t>
            </w:r>
          </w:p>
          <w:p w14:paraId="29CAC8C0" w14:textId="77777777" w:rsidR="001F39B6" w:rsidRPr="008043C9" w:rsidRDefault="001F39B6" w:rsidP="006A622D">
            <w:pPr>
              <w:pStyle w:val="IsiCorrespondingAuthor"/>
              <w:suppressAutoHyphens/>
              <w:rPr>
                <w:kern w:val="16"/>
                <w:lang w:val="en-US"/>
              </w:rPr>
            </w:pPr>
            <w:r w:rsidRPr="008043C9">
              <w:rPr>
                <w:kern w:val="16"/>
                <w:lang w:val="en-US"/>
              </w:rPr>
              <w:t>Department of Dental Radiology, Faculty of Dentistry, Universitas Mahasaraswati Denpasar, Denpasar, Indonesia</w:t>
            </w:r>
          </w:p>
          <w:p w14:paraId="0E59FF1C" w14:textId="60EA86FE" w:rsidR="007E130B" w:rsidRPr="008043C9" w:rsidRDefault="006E4352" w:rsidP="006A622D">
            <w:pPr>
              <w:pStyle w:val="IsiCorrespondingAuthor"/>
              <w:suppressAutoHyphens/>
              <w:rPr>
                <w:kern w:val="16"/>
                <w:lang w:val="en-US"/>
              </w:rPr>
            </w:pPr>
            <w:r w:rsidRPr="008043C9">
              <w:rPr>
                <w:kern w:val="16"/>
                <w:lang w:val="en-US"/>
              </w:rPr>
              <w:t>Email</w:t>
            </w:r>
            <w:r w:rsidR="003160E9" w:rsidRPr="008043C9">
              <w:rPr>
                <w:kern w:val="16"/>
                <w:lang w:val="en-US"/>
              </w:rPr>
              <w:t xml:space="preserve">: </w:t>
            </w:r>
            <w:r w:rsidR="001F39B6" w:rsidRPr="008043C9">
              <w:rPr>
                <w:kern w:val="16"/>
                <w:lang w:val="en-US"/>
              </w:rPr>
              <w:t>andykayasa_fkg@unmas.ac.id</w:t>
            </w:r>
          </w:p>
        </w:tc>
      </w:tr>
    </w:tbl>
    <w:p w14:paraId="70A7A6A2" w14:textId="5F77ACF2" w:rsidR="005907D3" w:rsidRPr="008043C9" w:rsidRDefault="005907D3" w:rsidP="006A622D">
      <w:pPr>
        <w:rPr>
          <w:rFonts w:ascii="Cambria" w:hAnsi="Cambria" w:cs="Times New Roman"/>
          <w:kern w:val="16"/>
          <w:sz w:val="22"/>
          <w:szCs w:val="22"/>
        </w:rPr>
        <w:sectPr w:rsidR="005907D3" w:rsidRPr="008043C9" w:rsidSect="00323BAF">
          <w:headerReference w:type="even" r:id="rId9"/>
          <w:headerReference w:type="default" r:id="rId10"/>
          <w:footerReference w:type="even" r:id="rId11"/>
          <w:footerReference w:type="default" r:id="rId12"/>
          <w:headerReference w:type="first" r:id="rId13"/>
          <w:footerReference w:type="first" r:id="rId14"/>
          <w:pgSz w:w="11900" w:h="16840" w:code="9"/>
          <w:pgMar w:top="1418" w:right="1418" w:bottom="1418" w:left="1418" w:header="737" w:footer="737" w:gutter="0"/>
          <w:pgNumType w:start="77"/>
          <w:cols w:space="567"/>
          <w:titlePg/>
          <w:docGrid w:linePitch="360"/>
        </w:sectPr>
      </w:pPr>
    </w:p>
    <w:p w14:paraId="58E01445" w14:textId="77777777" w:rsidR="00B84F90" w:rsidRPr="008043C9" w:rsidRDefault="00B84F90" w:rsidP="006A622D">
      <w:pPr>
        <w:rPr>
          <w:rFonts w:ascii="Cambria" w:hAnsi="Cambria"/>
          <w:b/>
          <w:bCs/>
          <w:color w:val="4472C4" w:themeColor="accent1"/>
          <w:kern w:val="16"/>
          <w:sz w:val="20"/>
          <w:szCs w:val="20"/>
          <w:shd w:val="clear" w:color="auto" w:fill="FFFFFF"/>
        </w:rPr>
      </w:pPr>
      <w:r w:rsidRPr="008043C9">
        <w:rPr>
          <w:rFonts w:ascii="Cambria" w:hAnsi="Cambria"/>
          <w:kern w:val="16"/>
          <w:sz w:val="20"/>
          <w:szCs w:val="20"/>
        </w:rPr>
        <w:br w:type="page"/>
      </w:r>
    </w:p>
    <w:p w14:paraId="74B9CFD5" w14:textId="526794DB" w:rsidR="00F035E5" w:rsidRPr="008043C9" w:rsidRDefault="00F035E5" w:rsidP="006A622D">
      <w:pPr>
        <w:pStyle w:val="JudulBAB"/>
        <w:spacing w:afterLines="60" w:after="144"/>
        <w:rPr>
          <w:kern w:val="16"/>
          <w:szCs w:val="20"/>
        </w:rPr>
        <w:sectPr w:rsidR="00F035E5" w:rsidRPr="008043C9" w:rsidSect="00A02961">
          <w:headerReference w:type="first" r:id="rId15"/>
          <w:footerReference w:type="first" r:id="rId16"/>
          <w:type w:val="continuous"/>
          <w:pgSz w:w="11900" w:h="16840" w:code="9"/>
          <w:pgMar w:top="1418" w:right="1418" w:bottom="1418" w:left="1418" w:header="737" w:footer="737" w:gutter="0"/>
          <w:cols w:num="2" w:space="454"/>
          <w:titlePg/>
          <w:docGrid w:linePitch="360"/>
        </w:sectPr>
      </w:pPr>
    </w:p>
    <w:p w14:paraId="6A1B723B" w14:textId="6749EBB0" w:rsidR="00E76A03" w:rsidRPr="008043C9" w:rsidRDefault="009E4EFD" w:rsidP="006A622D">
      <w:pPr>
        <w:pStyle w:val="JudulBAB"/>
        <w:rPr>
          <w:kern w:val="16"/>
          <w:szCs w:val="20"/>
        </w:rPr>
      </w:pPr>
      <w:r w:rsidRPr="008043C9">
        <w:rPr>
          <w:kern w:val="16"/>
          <w:szCs w:val="20"/>
        </w:rPr>
        <w:lastRenderedPageBreak/>
        <w:t>INTRODUCTION</w:t>
      </w:r>
    </w:p>
    <w:p w14:paraId="7F08DC4D" w14:textId="77777777" w:rsidR="003F77E9" w:rsidRPr="008043C9" w:rsidRDefault="003F77E9" w:rsidP="003F77E9">
      <w:pPr>
        <w:pStyle w:val="IsiNaskah"/>
      </w:pPr>
      <w:r w:rsidRPr="008043C9">
        <w:t>Dental treatment outcomes are highly dependent on the accuracy of diagnosis. To establish an accurate diagnosis, dentists routinely perform supporting examinations, including radiographic assessment, which plays a crucial role in identifying a wide range of dental abnormalities, both symptomatic and incidental. Among incidental radiographic findings, taurodontism is an important dental morphological anomaly because it cannot be reliably identified through clinical examination alone and requires radiographic visualization for confirmation.</w:t>
      </w:r>
    </w:p>
    <w:p w14:paraId="11F86625" w14:textId="406CB712" w:rsidR="003F77E9" w:rsidRPr="008043C9" w:rsidRDefault="003F77E9" w:rsidP="003F77E9">
      <w:pPr>
        <w:pStyle w:val="IsiNaskah"/>
      </w:pPr>
      <w:r w:rsidRPr="008043C9">
        <w:t>Taurodontism is characterized radiographically by an enlarged pulp chamber, apical displacement of the furcation, and relatively shortened roots, while the clinical crown may appear morphologically normal.</w:t>
      </w:r>
      <w:r w:rsidRPr="008043C9">
        <w:rPr>
          <w:vertAlign w:val="superscript"/>
        </w:rPr>
        <w:t>1</w:t>
      </w:r>
      <w:r w:rsidRPr="008043C9">
        <w:t xml:space="preserve"> This condition may occur in maxillary and mandibular molars in both primary and permanent dentitions. Although its etiology remains incompletely understood, taurodontism has been associated with developmental disturbances involving Hertwig’s epithelial root sheath and has also been reported in relation to certain genetic conditions and environmental factors.</w:t>
      </w:r>
      <w:r w:rsidRPr="008043C9">
        <w:rPr>
          <w:vertAlign w:val="superscript"/>
        </w:rPr>
        <w:t>2</w:t>
      </w:r>
      <w:r w:rsidRPr="008043C9">
        <w:t xml:space="preserve"> Because of its distinct internal morphology, taurodontism may influence diagnosis and treatment planning in several dental disciplines, including endodontics, orthodontics, oral surgery, prosthodontics, periodontics, and restorative dentistry.</w:t>
      </w:r>
      <w:r w:rsidRPr="008043C9">
        <w:rPr>
          <w:vertAlign w:val="superscript"/>
        </w:rPr>
        <w:t>3</w:t>
      </w:r>
      <w:r w:rsidRPr="008043C9">
        <w:t xml:space="preserve"> </w:t>
      </w:r>
    </w:p>
    <w:p w14:paraId="017349C6" w14:textId="68AC98BF" w:rsidR="003F77E9" w:rsidRPr="008043C9" w:rsidRDefault="003F77E9" w:rsidP="003F77E9">
      <w:pPr>
        <w:pStyle w:val="IsiNaskah"/>
        <w:rPr>
          <w:spacing w:val="-2"/>
          <w:vertAlign w:val="superscript"/>
        </w:rPr>
      </w:pPr>
      <w:r w:rsidRPr="008043C9">
        <w:rPr>
          <w:spacing w:val="-2"/>
        </w:rPr>
        <w:t xml:space="preserve">A retrospective analysis of 1,355 panoramic radiographs revealed that the prevalence of taurodontism in the Sharjah (UAE) population was 0.66%, with a higher occurrence in the mandible (73.3%) compared to the maxilla (26.7%). The most frequently identified subtype was hypotaurodontism (66.7%), followed by mesotaurodontism </w:t>
      </w:r>
      <w:r w:rsidRPr="008043C9">
        <w:rPr>
          <w:spacing w:val="-2"/>
        </w:rPr>
        <w:t xml:space="preserve">(26.6%) and hypertaurodontism (6.7%). The pooled prevalence in the UAE was reported at 1.4%, which is comparable to the overall prevalence observed in the Middle East (1.9%). On a global scale, the prevalence of taurodontism demonstrates considerable variability, ranging from 0.04% to over 30%, with the highest rates documented in North America (31.3%) and the lowest in Europe (approximately 2%). Furthermore, meta-analytic evidence suggests an overall prevalence of approximately 11.8% in the general population. Such variability may be attributed to differences in genetic background, diagnostic criteria, imaging modalities, and population characteristics across studies. </w:t>
      </w:r>
      <w:r w:rsidRPr="008043C9">
        <w:rPr>
          <w:spacing w:val="-2"/>
          <w:vertAlign w:val="superscript"/>
        </w:rPr>
        <w:t>4</w:t>
      </w:r>
      <w:r w:rsidRPr="008043C9">
        <w:rPr>
          <w:spacing w:val="-2"/>
        </w:rPr>
        <w:t xml:space="preserve"> These variations may reflect differences in ethnicity, diagnostic criteria, imaging modality, and sample characteristics.</w:t>
      </w:r>
      <w:r w:rsidRPr="008043C9">
        <w:rPr>
          <w:spacing w:val="-2"/>
          <w:vertAlign w:val="superscript"/>
        </w:rPr>
        <w:t>5</w:t>
      </w:r>
      <w:r w:rsidRPr="008043C9">
        <w:rPr>
          <w:spacing w:val="-2"/>
        </w:rPr>
        <w:t xml:space="preserve"> Given that taurodontism is diagnosed radiographically and may involve multiple molars, panoramic radiography remains a practical and widely used modality for epidemiological evaluation because it allows simultaneous assessment of multiple teeth in a single image.</w:t>
      </w:r>
      <w:r w:rsidRPr="008043C9">
        <w:rPr>
          <w:spacing w:val="-2"/>
          <w:vertAlign w:val="superscript"/>
        </w:rPr>
        <w:t>6, 7</w:t>
      </w:r>
    </w:p>
    <w:p w14:paraId="3EE1EA7A" w14:textId="25B805A8" w:rsidR="003F77E9" w:rsidRPr="008043C9" w:rsidRDefault="003F77E9" w:rsidP="003F77E9">
      <w:pPr>
        <w:pStyle w:val="IsiNaskah"/>
        <w:rPr>
          <w:spacing w:val="-2"/>
        </w:rPr>
      </w:pPr>
      <w:r w:rsidRPr="008043C9">
        <w:rPr>
          <w:spacing w:val="-2"/>
        </w:rPr>
        <w:t>Despite the clinical relevance of taurodontism, local epidemiological data based on panoramic radiographs remain limited in many settings, including dental teaching hospitals in Indonesia. Such data are important to support diagnostic awareness, improve treatment planning, and provide baseline information for further clinical and radiographic research. Therefore, this study aimed to determine the prevalence of taurodontism based on panoramic radiographic analysis at Saraswati Dental Hospital during the 2021–2024 period.</w:t>
      </w:r>
    </w:p>
    <w:p w14:paraId="56988031" w14:textId="77777777" w:rsidR="004C5A88" w:rsidRPr="008043C9" w:rsidRDefault="004C5A88" w:rsidP="006A622D">
      <w:pPr>
        <w:pStyle w:val="JudulBAB"/>
        <w:rPr>
          <w:spacing w:val="-2"/>
          <w:kern w:val="16"/>
        </w:rPr>
      </w:pPr>
    </w:p>
    <w:p w14:paraId="1C07691C" w14:textId="762C09D3" w:rsidR="009F1FE5" w:rsidRPr="008043C9" w:rsidRDefault="009F1FE5" w:rsidP="006A622D">
      <w:pPr>
        <w:pStyle w:val="JudulBAB"/>
        <w:rPr>
          <w:kern w:val="16"/>
        </w:rPr>
      </w:pPr>
      <w:r w:rsidRPr="008043C9">
        <w:rPr>
          <w:kern w:val="16"/>
        </w:rPr>
        <w:t>MATERIAL AND METHODS</w:t>
      </w:r>
    </w:p>
    <w:p w14:paraId="33966704" w14:textId="77777777" w:rsidR="008B002E" w:rsidRPr="008043C9" w:rsidRDefault="008B002E" w:rsidP="0050633A">
      <w:pPr>
        <w:pStyle w:val="IsiNaskah"/>
        <w:rPr>
          <w:spacing w:val="-2"/>
        </w:rPr>
      </w:pPr>
      <w:r w:rsidRPr="008043C9">
        <w:rPr>
          <w:spacing w:val="-2"/>
        </w:rPr>
        <w:t>This study was a descriptive observational study with a cross-sectional approach to describe the prevalence of taurodontism during the 2021–</w:t>
      </w:r>
      <w:r w:rsidRPr="008043C9">
        <w:rPr>
          <w:spacing w:val="-2"/>
        </w:rPr>
        <w:lastRenderedPageBreak/>
        <w:t>2024 period. The study population included all patients who underwent panoramic radiography at Saraswati Dental Hospital from September 2021 to September 2024. The inclusion criteria were panoramic radiographs of good diagnostic quality, patients aged ≥12 years, and clearly visible molar teeth suitable for CB/R measurement. The exclusion criteria included blurred or distorted radiographs, molar teeth with severe pathology (e.g., resorption or fracture), and patients with a history of endodontic treatment in the teeth being measured.</w:t>
      </w:r>
    </w:p>
    <w:p w14:paraId="2BFAD288" w14:textId="593F0906" w:rsidR="008B002E" w:rsidRPr="006B1508" w:rsidRDefault="008B002E" w:rsidP="0050633A">
      <w:pPr>
        <w:pStyle w:val="IsiNaskah"/>
        <w:rPr>
          <w:spacing w:val="-2"/>
        </w:rPr>
      </w:pPr>
      <w:r w:rsidRPr="006B1508">
        <w:rPr>
          <w:spacing w:val="-2"/>
        </w:rPr>
        <w:t>All radiographs were reviewed using Cliniview®, and measurements of crown body length (CB) and root length (R) were performed according to the Seow method to determine the CB/R ratio (Figure 1).</w:t>
      </w:r>
      <w:r w:rsidRPr="006B1508">
        <w:rPr>
          <w:spacing w:val="-2"/>
          <w:vertAlign w:val="superscript"/>
        </w:rPr>
        <w:t>8</w:t>
      </w:r>
      <w:r w:rsidRPr="006B1508">
        <w:rPr>
          <w:spacing w:val="-2"/>
        </w:rPr>
        <w:t xml:space="preserve"> </w:t>
      </w:r>
      <w:r w:rsidRPr="006B1508">
        <w:rPr>
          <w:bCs/>
          <w:spacing w:val="-2"/>
        </w:rPr>
        <w:t xml:space="preserve">Crown body length (CB) and root length (R) measurements on panoramic radiographs were assessed by three oral and maxillofacial radiologists. Each examiner evaluated the radiographs independently, and discrepancies in measurement or classification were resolved through consensus discussion to obtain a final agreed result. </w:t>
      </w:r>
      <w:r w:rsidRPr="006B1508">
        <w:rPr>
          <w:spacing w:val="-2"/>
        </w:rPr>
        <w:t xml:space="preserve">The resulting CB/R values were then classified as hypotaurodontism (1.10–1.29), mesotaurodontism (1.30–2.00), and hypertaurodontism </w:t>
      </w:r>
      <w:r w:rsidRPr="006B1508">
        <w:rPr>
          <w:spacing w:val="-2"/>
        </w:rPr>
        <w:t>(&gt;2.00) (Figure 2). Data were analyzed descriptively using frequency distributions based on age, tooth location, and morphological classification. The requirement for informed consent was waived due to the retrospective study design.</w:t>
      </w:r>
    </w:p>
    <w:p w14:paraId="09343C29" w14:textId="77777777" w:rsidR="00021412" w:rsidRPr="008043C9" w:rsidRDefault="00021412" w:rsidP="0050633A">
      <w:pPr>
        <w:pStyle w:val="IsiNaskah"/>
      </w:pPr>
    </w:p>
    <w:p w14:paraId="43B083ED" w14:textId="77777777" w:rsidR="008B002E" w:rsidRPr="008043C9" w:rsidRDefault="008B002E" w:rsidP="0050633A">
      <w:pPr>
        <w:pStyle w:val="IsiNaskah"/>
        <w:ind w:firstLine="0"/>
      </w:pPr>
      <w:r w:rsidRPr="008043C9">
        <w:drawing>
          <wp:inline distT="0" distB="0" distL="0" distR="0" wp14:anchorId="164600A9" wp14:editId="2B82ECCA">
            <wp:extent cx="2700000" cy="1910998"/>
            <wp:effectExtent l="0" t="0" r="571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8504" t="41522" r="60124" b="18982"/>
                    <a:stretch/>
                  </pic:blipFill>
                  <pic:spPr bwMode="auto">
                    <a:xfrm>
                      <a:off x="0" y="0"/>
                      <a:ext cx="2700000" cy="1910998"/>
                    </a:xfrm>
                    <a:prstGeom prst="rect">
                      <a:avLst/>
                    </a:prstGeom>
                    <a:ln>
                      <a:noFill/>
                    </a:ln>
                    <a:extLst>
                      <a:ext uri="{53640926-AAD7-44D8-BBD7-CCE9431645EC}">
                        <a14:shadowObscured xmlns:a14="http://schemas.microsoft.com/office/drawing/2010/main"/>
                      </a:ext>
                    </a:extLst>
                  </pic:spPr>
                </pic:pic>
              </a:graphicData>
            </a:graphic>
          </wp:inline>
        </w:drawing>
      </w:r>
    </w:p>
    <w:p w14:paraId="65C1FB3B" w14:textId="77777777" w:rsidR="008B002E" w:rsidRPr="008043C9" w:rsidRDefault="008B002E" w:rsidP="0050633A">
      <w:pPr>
        <w:pStyle w:val="JudulGambar"/>
        <w:rPr>
          <w:lang w:val="en-US"/>
        </w:rPr>
      </w:pPr>
      <w:r w:rsidRPr="008043C9">
        <w:rPr>
          <w:lang w:val="en-US"/>
        </w:rPr>
        <w:t>Figure 1. Ratio of crown body length (CB) and root length (R).</w:t>
      </w:r>
    </w:p>
    <w:p w14:paraId="564B638F" w14:textId="77777777" w:rsidR="0050633A" w:rsidRDefault="0050633A" w:rsidP="0050633A">
      <w:pPr>
        <w:pStyle w:val="JudulGambar"/>
        <w:jc w:val="left"/>
        <w:rPr>
          <w:lang w:val="en-US"/>
        </w:rPr>
      </w:pPr>
    </w:p>
    <w:p w14:paraId="4C52993F" w14:textId="77777777" w:rsidR="001A0E2E" w:rsidRPr="008043C9" w:rsidRDefault="001A0E2E" w:rsidP="0050633A">
      <w:pPr>
        <w:pStyle w:val="JudulGambar"/>
        <w:jc w:val="left"/>
        <w:rPr>
          <w:lang w:val="en-US"/>
        </w:rPr>
      </w:pPr>
    </w:p>
    <w:p w14:paraId="2A92A65C" w14:textId="77777777" w:rsidR="00811FEB" w:rsidRPr="008043C9" w:rsidRDefault="00811FEB" w:rsidP="00811FEB">
      <w:pPr>
        <w:pStyle w:val="IsiNaskah"/>
        <w:ind w:firstLine="0"/>
      </w:pPr>
      <w:r w:rsidRPr="008043C9">
        <w:drawing>
          <wp:inline distT="0" distB="0" distL="0" distR="0" wp14:anchorId="715283E9" wp14:editId="059B683A">
            <wp:extent cx="2700000" cy="1272978"/>
            <wp:effectExtent l="0" t="0" r="571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34374" t="43444" r="34535" b="30482"/>
                    <a:stretch/>
                  </pic:blipFill>
                  <pic:spPr bwMode="auto">
                    <a:xfrm>
                      <a:off x="0" y="0"/>
                      <a:ext cx="2700000" cy="1272978"/>
                    </a:xfrm>
                    <a:prstGeom prst="rect">
                      <a:avLst/>
                    </a:prstGeom>
                    <a:ln>
                      <a:noFill/>
                    </a:ln>
                    <a:extLst>
                      <a:ext uri="{53640926-AAD7-44D8-BBD7-CCE9431645EC}">
                        <a14:shadowObscured xmlns:a14="http://schemas.microsoft.com/office/drawing/2010/main"/>
                      </a:ext>
                    </a:extLst>
                  </pic:spPr>
                </pic:pic>
              </a:graphicData>
            </a:graphic>
          </wp:inline>
        </w:drawing>
      </w:r>
    </w:p>
    <w:p w14:paraId="23485FDF" w14:textId="21991774" w:rsidR="00811FEB" w:rsidRPr="008043C9" w:rsidRDefault="00811FEB" w:rsidP="00951AAE">
      <w:pPr>
        <w:pStyle w:val="JudulGambar"/>
        <w:rPr>
          <w:lang w:val="en-US"/>
        </w:rPr>
      </w:pPr>
      <w:r w:rsidRPr="008043C9">
        <w:rPr>
          <w:lang w:val="en-US"/>
        </w:rPr>
        <w:t>Figure 2. Classification of taurodontism. Normal tooth (a), hypotaurodontism (b), mesotaurodontism (c) and hypertaurodontism (d).</w:t>
      </w:r>
    </w:p>
    <w:p w14:paraId="3B75AF1D" w14:textId="77777777" w:rsidR="00951AAE" w:rsidRPr="008043C9" w:rsidRDefault="00951AAE" w:rsidP="0050633A">
      <w:pPr>
        <w:pStyle w:val="IsiNaskah"/>
        <w:ind w:firstLine="0"/>
        <w:sectPr w:rsidR="00951AAE" w:rsidRPr="008043C9" w:rsidSect="00A02961">
          <w:type w:val="continuous"/>
          <w:pgSz w:w="11900" w:h="16840" w:code="9"/>
          <w:pgMar w:top="1418" w:right="1418" w:bottom="1418" w:left="1418" w:header="737" w:footer="737" w:gutter="0"/>
          <w:cols w:num="2" w:space="567"/>
          <w:titlePg/>
          <w:docGrid w:linePitch="360"/>
        </w:sectPr>
      </w:pPr>
    </w:p>
    <w:p w14:paraId="7DF93C93" w14:textId="77777777" w:rsidR="00951AAE" w:rsidRPr="008043C9" w:rsidRDefault="00951AAE" w:rsidP="00951AAE">
      <w:pPr>
        <w:pStyle w:val="IsiNaskah"/>
        <w:ind w:firstLine="0"/>
        <w:jc w:val="center"/>
      </w:pPr>
    </w:p>
    <w:p w14:paraId="000081A3" w14:textId="09257B56" w:rsidR="008B002E" w:rsidRPr="008043C9" w:rsidRDefault="008B002E" w:rsidP="00951AAE">
      <w:pPr>
        <w:pStyle w:val="IsiNaskah"/>
        <w:ind w:firstLine="0"/>
        <w:jc w:val="center"/>
      </w:pPr>
      <w:r w:rsidRPr="008043C9">
        <w:drawing>
          <wp:inline distT="0" distB="0" distL="0" distR="0" wp14:anchorId="6EE36B19" wp14:editId="0B2AB671">
            <wp:extent cx="3600000" cy="1888519"/>
            <wp:effectExtent l="0" t="0" r="635" b="0"/>
            <wp:docPr id="11871489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00000" cy="1888519"/>
                    </a:xfrm>
                    <a:prstGeom prst="rect">
                      <a:avLst/>
                    </a:prstGeom>
                    <a:noFill/>
                    <a:ln>
                      <a:noFill/>
                    </a:ln>
                  </pic:spPr>
                </pic:pic>
              </a:graphicData>
            </a:graphic>
          </wp:inline>
        </w:drawing>
      </w:r>
    </w:p>
    <w:p w14:paraId="095386AC" w14:textId="2E79EB56" w:rsidR="00602927" w:rsidRPr="008043C9" w:rsidRDefault="008B002E" w:rsidP="00951AAE">
      <w:pPr>
        <w:pStyle w:val="JudulGambar"/>
        <w:rPr>
          <w:lang w:val="en-US"/>
        </w:rPr>
      </w:pPr>
      <w:r w:rsidRPr="008043C9">
        <w:rPr>
          <w:lang w:val="en-US"/>
        </w:rPr>
        <w:t>Figure 3. Measurement of the crown body length and root length using Cliniview® for taurodontism classification.</w:t>
      </w:r>
    </w:p>
    <w:p w14:paraId="4CBAD134" w14:textId="77777777" w:rsidR="00951AAE" w:rsidRPr="008043C9" w:rsidRDefault="00951AAE" w:rsidP="0050633A">
      <w:pPr>
        <w:pStyle w:val="IsiNaskah"/>
        <w:rPr>
          <w:kern w:val="16"/>
        </w:rPr>
      </w:pPr>
    </w:p>
    <w:p w14:paraId="2CCBCD8B" w14:textId="77777777" w:rsidR="009469A1" w:rsidRPr="008043C9" w:rsidRDefault="009469A1" w:rsidP="0050633A">
      <w:pPr>
        <w:pStyle w:val="IsiNaskah"/>
        <w:rPr>
          <w:kern w:val="16"/>
        </w:rPr>
        <w:sectPr w:rsidR="009469A1" w:rsidRPr="008043C9" w:rsidSect="00951AAE">
          <w:type w:val="continuous"/>
          <w:pgSz w:w="11900" w:h="16840" w:code="9"/>
          <w:pgMar w:top="1418" w:right="1418" w:bottom="1418" w:left="1418" w:header="737" w:footer="737" w:gutter="0"/>
          <w:cols w:space="567"/>
          <w:titlePg/>
          <w:docGrid w:linePitch="360"/>
        </w:sectPr>
      </w:pPr>
    </w:p>
    <w:p w14:paraId="3DE333DF" w14:textId="77777777" w:rsidR="00AD2AC4" w:rsidRPr="008043C9" w:rsidRDefault="00AD2AC4" w:rsidP="0050633A">
      <w:pPr>
        <w:pStyle w:val="IsiNaskah"/>
        <w:rPr>
          <w:kern w:val="16"/>
        </w:rPr>
      </w:pPr>
    </w:p>
    <w:p w14:paraId="7857128C" w14:textId="77777777" w:rsidR="009F51C4" w:rsidRPr="008043C9" w:rsidRDefault="009F51C4" w:rsidP="006A622D">
      <w:pPr>
        <w:pStyle w:val="JudulBAB"/>
        <w:rPr>
          <w:kern w:val="16"/>
        </w:rPr>
      </w:pPr>
    </w:p>
    <w:p w14:paraId="72C33C11" w14:textId="119ABD26" w:rsidR="001B11AD" w:rsidRPr="008043C9" w:rsidRDefault="001B11AD" w:rsidP="006A622D">
      <w:pPr>
        <w:pStyle w:val="JudulBAB"/>
        <w:rPr>
          <w:kern w:val="16"/>
        </w:rPr>
      </w:pPr>
      <w:r w:rsidRPr="008043C9">
        <w:rPr>
          <w:kern w:val="16"/>
        </w:rPr>
        <w:lastRenderedPageBreak/>
        <w:t>RESULTS AND DISCUSSIONS</w:t>
      </w:r>
    </w:p>
    <w:p w14:paraId="5BC3D4EF" w14:textId="77777777" w:rsidR="008B002E" w:rsidRPr="008043C9" w:rsidRDefault="008B002E" w:rsidP="007127FC">
      <w:pPr>
        <w:pStyle w:val="IsiNaskah"/>
      </w:pPr>
      <w:r w:rsidRPr="008043C9">
        <w:t xml:space="preserve">A total of 3,289 panoramic radiographs obtained from the Oral Radiology Department of Saraswati Dental Hospital between September 2021 and September 2024 were evaluated. A total of 106 taurodontism cases were identified, yielding an overall prevalence of 3.22%. Most cases occurred in the 12–25-year age group (75.47%), whereas 24.53% were observed in patients aged 26–45 years. </w:t>
      </w:r>
    </w:p>
    <w:p w14:paraId="02CCC49F" w14:textId="6E698FD0" w:rsidR="008B002E" w:rsidRPr="008043C9" w:rsidRDefault="008B002E" w:rsidP="007127FC">
      <w:pPr>
        <w:pStyle w:val="IsiNaskah"/>
      </w:pPr>
      <w:r w:rsidRPr="008043C9">
        <w:t>Taurodontism was predominantly distributed in the mandible (81.14%), while isolated maxillary involvement accounted for 6.60% and combined maxillary–mandibular involvement for 12.26% (Table 1). Among 220 affected teeth, the mandibular second molars were the most frequently involved (64.55%), followed by the mandibular first molars (11.36%). The maxillary first and second molars showed lower involvement, and the maxillary third molars were the least frequently affected teeth.</w:t>
      </w:r>
    </w:p>
    <w:p w14:paraId="049FBB8B" w14:textId="77777777" w:rsidR="008B002E" w:rsidRPr="008043C9" w:rsidRDefault="008B002E" w:rsidP="007127FC">
      <w:pPr>
        <w:pStyle w:val="IsiNaskah"/>
      </w:pPr>
    </w:p>
    <w:p w14:paraId="7EEA6450" w14:textId="77777777" w:rsidR="008B002E" w:rsidRPr="008043C9" w:rsidRDefault="008B002E" w:rsidP="00035D26">
      <w:pPr>
        <w:pStyle w:val="JudulTabel"/>
        <w:rPr>
          <w:rFonts w:eastAsiaTheme="minorEastAsia"/>
        </w:rPr>
      </w:pPr>
      <w:r w:rsidRPr="008043C9">
        <w:rPr>
          <w:rFonts w:eastAsiaTheme="minorEastAsia"/>
        </w:rPr>
        <w:t>Table 1. Distribution of taurodontism-affected teeth by tooth location</w:t>
      </w:r>
    </w:p>
    <w:tbl>
      <w:tblPr>
        <w:tblStyle w:val="TableGrid"/>
        <w:tblW w:w="5000" w:type="pct"/>
        <w:jc w:val="center"/>
        <w:tblLook w:val="04A0" w:firstRow="1" w:lastRow="0" w:firstColumn="1" w:lastColumn="0" w:noHBand="0" w:noVBand="1"/>
      </w:tblPr>
      <w:tblGrid>
        <w:gridCol w:w="447"/>
        <w:gridCol w:w="589"/>
        <w:gridCol w:w="675"/>
        <w:gridCol w:w="739"/>
        <w:gridCol w:w="675"/>
        <w:gridCol w:w="448"/>
        <w:gridCol w:w="675"/>
      </w:tblGrid>
      <w:tr w:rsidR="008B002E" w:rsidRPr="008043C9" w14:paraId="7444DC37" w14:textId="77777777" w:rsidTr="00AB2881">
        <w:trPr>
          <w:trHeight w:val="20"/>
          <w:jc w:val="center"/>
        </w:trPr>
        <w:tc>
          <w:tcPr>
            <w:tcW w:w="551" w:type="pct"/>
            <w:tcBorders>
              <w:left w:val="nil"/>
              <w:bottom w:val="single" w:sz="4" w:space="0" w:color="auto"/>
              <w:right w:val="nil"/>
            </w:tcBorders>
            <w:vAlign w:val="center"/>
          </w:tcPr>
          <w:p w14:paraId="01175754" w14:textId="77777777" w:rsidR="008B002E" w:rsidRPr="008043C9" w:rsidRDefault="008B002E" w:rsidP="00035D26">
            <w:pPr>
              <w:pStyle w:val="Tabel"/>
            </w:pPr>
          </w:p>
        </w:tc>
        <w:tc>
          <w:tcPr>
            <w:tcW w:w="717" w:type="pct"/>
            <w:tcBorders>
              <w:left w:val="nil"/>
              <w:bottom w:val="single" w:sz="4" w:space="0" w:color="auto"/>
              <w:right w:val="nil"/>
            </w:tcBorders>
            <w:vAlign w:val="center"/>
          </w:tcPr>
          <w:p w14:paraId="777DE909" w14:textId="77777777" w:rsidR="008B002E" w:rsidRPr="008043C9" w:rsidRDefault="008B002E" w:rsidP="00035D26">
            <w:pPr>
              <w:pStyle w:val="Tabel"/>
            </w:pPr>
            <w:r w:rsidRPr="008043C9">
              <w:t>Maxilla</w:t>
            </w:r>
          </w:p>
        </w:tc>
        <w:tc>
          <w:tcPr>
            <w:tcW w:w="763" w:type="pct"/>
            <w:tcBorders>
              <w:left w:val="nil"/>
              <w:bottom w:val="single" w:sz="4" w:space="0" w:color="auto"/>
              <w:right w:val="nil"/>
            </w:tcBorders>
            <w:vAlign w:val="center"/>
          </w:tcPr>
          <w:p w14:paraId="3461EEF7" w14:textId="77777777" w:rsidR="008B002E" w:rsidRPr="008043C9" w:rsidRDefault="008B002E" w:rsidP="00035D26">
            <w:pPr>
              <w:pStyle w:val="Tabel"/>
            </w:pPr>
            <w:r w:rsidRPr="008043C9">
              <w:t>%</w:t>
            </w:r>
          </w:p>
        </w:tc>
        <w:tc>
          <w:tcPr>
            <w:tcW w:w="893" w:type="pct"/>
            <w:tcBorders>
              <w:left w:val="nil"/>
              <w:bottom w:val="single" w:sz="4" w:space="0" w:color="auto"/>
              <w:right w:val="nil"/>
            </w:tcBorders>
            <w:vAlign w:val="center"/>
          </w:tcPr>
          <w:p w14:paraId="2C193FF1" w14:textId="77777777" w:rsidR="008B002E" w:rsidRPr="008043C9" w:rsidRDefault="008B002E" w:rsidP="00035D26">
            <w:pPr>
              <w:pStyle w:val="Tabel"/>
            </w:pPr>
            <w:r w:rsidRPr="008043C9">
              <w:t>Mandible</w:t>
            </w:r>
          </w:p>
        </w:tc>
        <w:tc>
          <w:tcPr>
            <w:tcW w:w="763" w:type="pct"/>
            <w:tcBorders>
              <w:left w:val="nil"/>
              <w:bottom w:val="single" w:sz="4" w:space="0" w:color="auto"/>
              <w:right w:val="nil"/>
            </w:tcBorders>
            <w:vAlign w:val="center"/>
          </w:tcPr>
          <w:p w14:paraId="5FB6BB98" w14:textId="77777777" w:rsidR="008B002E" w:rsidRPr="008043C9" w:rsidRDefault="008B002E" w:rsidP="00035D26">
            <w:pPr>
              <w:pStyle w:val="Tabel"/>
            </w:pPr>
            <w:r w:rsidRPr="008043C9">
              <w:t>%</w:t>
            </w:r>
          </w:p>
        </w:tc>
        <w:tc>
          <w:tcPr>
            <w:tcW w:w="551" w:type="pct"/>
            <w:tcBorders>
              <w:left w:val="nil"/>
              <w:bottom w:val="single" w:sz="4" w:space="0" w:color="auto"/>
              <w:right w:val="nil"/>
            </w:tcBorders>
            <w:vAlign w:val="center"/>
          </w:tcPr>
          <w:p w14:paraId="00479528" w14:textId="77777777" w:rsidR="008B002E" w:rsidRPr="008043C9" w:rsidRDefault="008B002E" w:rsidP="00035D26">
            <w:pPr>
              <w:pStyle w:val="Tabel"/>
            </w:pPr>
            <w:r w:rsidRPr="008043C9">
              <w:t>Total</w:t>
            </w:r>
          </w:p>
        </w:tc>
        <w:tc>
          <w:tcPr>
            <w:tcW w:w="763" w:type="pct"/>
            <w:tcBorders>
              <w:left w:val="nil"/>
              <w:bottom w:val="single" w:sz="4" w:space="0" w:color="auto"/>
              <w:right w:val="nil"/>
            </w:tcBorders>
            <w:vAlign w:val="center"/>
          </w:tcPr>
          <w:p w14:paraId="5531D853" w14:textId="77777777" w:rsidR="008B002E" w:rsidRPr="008043C9" w:rsidRDefault="008B002E" w:rsidP="00035D26">
            <w:pPr>
              <w:pStyle w:val="Tabel"/>
            </w:pPr>
            <w:r w:rsidRPr="008043C9">
              <w:t>%</w:t>
            </w:r>
          </w:p>
        </w:tc>
      </w:tr>
      <w:tr w:rsidR="008B002E" w:rsidRPr="008043C9" w14:paraId="5F08F3A4" w14:textId="77777777" w:rsidTr="00AB2881">
        <w:trPr>
          <w:trHeight w:val="20"/>
          <w:jc w:val="center"/>
        </w:trPr>
        <w:tc>
          <w:tcPr>
            <w:tcW w:w="551" w:type="pct"/>
            <w:tcBorders>
              <w:top w:val="single" w:sz="4" w:space="0" w:color="auto"/>
              <w:left w:val="nil"/>
              <w:bottom w:val="nil"/>
              <w:right w:val="nil"/>
            </w:tcBorders>
            <w:vAlign w:val="center"/>
          </w:tcPr>
          <w:p w14:paraId="10C12012" w14:textId="77777777" w:rsidR="008B002E" w:rsidRPr="008043C9" w:rsidRDefault="008B002E" w:rsidP="00035D26">
            <w:pPr>
              <w:pStyle w:val="Tabel"/>
            </w:pPr>
            <w:r w:rsidRPr="008043C9">
              <w:t>M1</w:t>
            </w:r>
          </w:p>
        </w:tc>
        <w:tc>
          <w:tcPr>
            <w:tcW w:w="717" w:type="pct"/>
            <w:tcBorders>
              <w:top w:val="single" w:sz="4" w:space="0" w:color="auto"/>
              <w:left w:val="nil"/>
              <w:bottom w:val="nil"/>
              <w:right w:val="nil"/>
            </w:tcBorders>
            <w:vAlign w:val="center"/>
          </w:tcPr>
          <w:p w14:paraId="5BF81034" w14:textId="77777777" w:rsidR="008B002E" w:rsidRPr="008043C9" w:rsidRDefault="008B002E" w:rsidP="00035D26">
            <w:pPr>
              <w:pStyle w:val="Tabel"/>
            </w:pPr>
            <w:r w:rsidRPr="008043C9">
              <w:t>18</w:t>
            </w:r>
          </w:p>
        </w:tc>
        <w:tc>
          <w:tcPr>
            <w:tcW w:w="763" w:type="pct"/>
            <w:tcBorders>
              <w:top w:val="single" w:sz="4" w:space="0" w:color="auto"/>
              <w:left w:val="nil"/>
              <w:bottom w:val="nil"/>
              <w:right w:val="nil"/>
            </w:tcBorders>
            <w:vAlign w:val="center"/>
          </w:tcPr>
          <w:p w14:paraId="56928789" w14:textId="77777777" w:rsidR="008B002E" w:rsidRPr="008043C9" w:rsidRDefault="008B002E" w:rsidP="00035D26">
            <w:pPr>
              <w:pStyle w:val="Tabel"/>
            </w:pPr>
            <w:r w:rsidRPr="008043C9">
              <w:t>8.18%</w:t>
            </w:r>
          </w:p>
        </w:tc>
        <w:tc>
          <w:tcPr>
            <w:tcW w:w="893" w:type="pct"/>
            <w:tcBorders>
              <w:top w:val="single" w:sz="4" w:space="0" w:color="auto"/>
              <w:left w:val="nil"/>
              <w:bottom w:val="nil"/>
              <w:right w:val="nil"/>
            </w:tcBorders>
            <w:vAlign w:val="center"/>
          </w:tcPr>
          <w:p w14:paraId="4E667B25" w14:textId="77777777" w:rsidR="008B002E" w:rsidRPr="008043C9" w:rsidRDefault="008B002E" w:rsidP="00035D26">
            <w:pPr>
              <w:pStyle w:val="Tabel"/>
            </w:pPr>
            <w:r w:rsidRPr="008043C9">
              <w:t>25</w:t>
            </w:r>
          </w:p>
        </w:tc>
        <w:tc>
          <w:tcPr>
            <w:tcW w:w="763" w:type="pct"/>
            <w:tcBorders>
              <w:top w:val="single" w:sz="4" w:space="0" w:color="auto"/>
              <w:left w:val="nil"/>
              <w:bottom w:val="nil"/>
              <w:right w:val="nil"/>
            </w:tcBorders>
            <w:vAlign w:val="center"/>
          </w:tcPr>
          <w:p w14:paraId="4C8F1541" w14:textId="77777777" w:rsidR="008B002E" w:rsidRPr="008043C9" w:rsidRDefault="008B002E" w:rsidP="00035D26">
            <w:pPr>
              <w:pStyle w:val="Tabel"/>
            </w:pPr>
            <w:r w:rsidRPr="008043C9">
              <w:t>11.36%</w:t>
            </w:r>
          </w:p>
        </w:tc>
        <w:tc>
          <w:tcPr>
            <w:tcW w:w="551" w:type="pct"/>
            <w:tcBorders>
              <w:top w:val="single" w:sz="4" w:space="0" w:color="auto"/>
              <w:left w:val="nil"/>
              <w:bottom w:val="nil"/>
              <w:right w:val="nil"/>
            </w:tcBorders>
            <w:vAlign w:val="center"/>
          </w:tcPr>
          <w:p w14:paraId="282F3E26" w14:textId="77777777" w:rsidR="008B002E" w:rsidRPr="008043C9" w:rsidRDefault="008B002E" w:rsidP="00035D26">
            <w:pPr>
              <w:pStyle w:val="Tabel"/>
            </w:pPr>
            <w:r w:rsidRPr="008043C9">
              <w:t>43</w:t>
            </w:r>
          </w:p>
        </w:tc>
        <w:tc>
          <w:tcPr>
            <w:tcW w:w="763" w:type="pct"/>
            <w:tcBorders>
              <w:top w:val="single" w:sz="4" w:space="0" w:color="auto"/>
              <w:left w:val="nil"/>
              <w:bottom w:val="nil"/>
              <w:right w:val="nil"/>
            </w:tcBorders>
            <w:vAlign w:val="center"/>
          </w:tcPr>
          <w:p w14:paraId="377001FC" w14:textId="77777777" w:rsidR="008B002E" w:rsidRPr="008043C9" w:rsidRDefault="008B002E" w:rsidP="00035D26">
            <w:pPr>
              <w:pStyle w:val="Tabel"/>
            </w:pPr>
            <w:r w:rsidRPr="008043C9">
              <w:t>19.55%</w:t>
            </w:r>
          </w:p>
        </w:tc>
      </w:tr>
      <w:tr w:rsidR="008B002E" w:rsidRPr="008043C9" w14:paraId="071C3DDE" w14:textId="77777777" w:rsidTr="00AB2881">
        <w:trPr>
          <w:trHeight w:val="20"/>
          <w:jc w:val="center"/>
        </w:trPr>
        <w:tc>
          <w:tcPr>
            <w:tcW w:w="551" w:type="pct"/>
            <w:tcBorders>
              <w:top w:val="nil"/>
              <w:left w:val="nil"/>
              <w:bottom w:val="nil"/>
              <w:right w:val="nil"/>
            </w:tcBorders>
            <w:vAlign w:val="center"/>
          </w:tcPr>
          <w:p w14:paraId="7577C546" w14:textId="77777777" w:rsidR="008B002E" w:rsidRPr="008043C9" w:rsidRDefault="008B002E" w:rsidP="00035D26">
            <w:pPr>
              <w:pStyle w:val="Tabel"/>
            </w:pPr>
            <w:r w:rsidRPr="008043C9">
              <w:t>M2</w:t>
            </w:r>
          </w:p>
        </w:tc>
        <w:tc>
          <w:tcPr>
            <w:tcW w:w="717" w:type="pct"/>
            <w:tcBorders>
              <w:top w:val="nil"/>
              <w:left w:val="nil"/>
              <w:bottom w:val="nil"/>
              <w:right w:val="nil"/>
            </w:tcBorders>
            <w:vAlign w:val="center"/>
          </w:tcPr>
          <w:p w14:paraId="0ED80173" w14:textId="77777777" w:rsidR="008B002E" w:rsidRPr="008043C9" w:rsidRDefault="008B002E" w:rsidP="00035D26">
            <w:pPr>
              <w:pStyle w:val="Tabel"/>
            </w:pPr>
            <w:r w:rsidRPr="008043C9">
              <w:t>19</w:t>
            </w:r>
          </w:p>
        </w:tc>
        <w:tc>
          <w:tcPr>
            <w:tcW w:w="763" w:type="pct"/>
            <w:tcBorders>
              <w:top w:val="nil"/>
              <w:left w:val="nil"/>
              <w:bottom w:val="nil"/>
              <w:right w:val="nil"/>
            </w:tcBorders>
            <w:vAlign w:val="center"/>
          </w:tcPr>
          <w:p w14:paraId="0FBC455D" w14:textId="77777777" w:rsidR="008B002E" w:rsidRPr="008043C9" w:rsidRDefault="008B002E" w:rsidP="00035D26">
            <w:pPr>
              <w:pStyle w:val="Tabel"/>
            </w:pPr>
            <w:r w:rsidRPr="008043C9">
              <w:t>8.64%</w:t>
            </w:r>
          </w:p>
        </w:tc>
        <w:tc>
          <w:tcPr>
            <w:tcW w:w="893" w:type="pct"/>
            <w:tcBorders>
              <w:top w:val="nil"/>
              <w:left w:val="nil"/>
              <w:bottom w:val="nil"/>
              <w:right w:val="nil"/>
            </w:tcBorders>
            <w:vAlign w:val="center"/>
          </w:tcPr>
          <w:p w14:paraId="44BDB72F" w14:textId="77777777" w:rsidR="008B002E" w:rsidRPr="008043C9" w:rsidRDefault="008B002E" w:rsidP="00035D26">
            <w:pPr>
              <w:pStyle w:val="Tabel"/>
            </w:pPr>
            <w:r w:rsidRPr="008043C9">
              <w:t>142</w:t>
            </w:r>
          </w:p>
        </w:tc>
        <w:tc>
          <w:tcPr>
            <w:tcW w:w="763" w:type="pct"/>
            <w:tcBorders>
              <w:top w:val="nil"/>
              <w:left w:val="nil"/>
              <w:bottom w:val="nil"/>
              <w:right w:val="nil"/>
            </w:tcBorders>
            <w:vAlign w:val="center"/>
          </w:tcPr>
          <w:p w14:paraId="3D295AF8" w14:textId="77777777" w:rsidR="008B002E" w:rsidRPr="008043C9" w:rsidRDefault="008B002E" w:rsidP="00035D26">
            <w:pPr>
              <w:pStyle w:val="Tabel"/>
            </w:pPr>
            <w:r w:rsidRPr="008043C9">
              <w:t>64.55%</w:t>
            </w:r>
          </w:p>
        </w:tc>
        <w:tc>
          <w:tcPr>
            <w:tcW w:w="551" w:type="pct"/>
            <w:tcBorders>
              <w:top w:val="nil"/>
              <w:left w:val="nil"/>
              <w:bottom w:val="nil"/>
              <w:right w:val="nil"/>
            </w:tcBorders>
            <w:vAlign w:val="center"/>
          </w:tcPr>
          <w:p w14:paraId="7693AE36" w14:textId="77777777" w:rsidR="008B002E" w:rsidRPr="008043C9" w:rsidRDefault="008B002E" w:rsidP="00035D26">
            <w:pPr>
              <w:pStyle w:val="Tabel"/>
            </w:pPr>
            <w:r w:rsidRPr="008043C9">
              <w:t>161</w:t>
            </w:r>
          </w:p>
        </w:tc>
        <w:tc>
          <w:tcPr>
            <w:tcW w:w="763" w:type="pct"/>
            <w:tcBorders>
              <w:top w:val="nil"/>
              <w:left w:val="nil"/>
              <w:bottom w:val="nil"/>
              <w:right w:val="nil"/>
            </w:tcBorders>
            <w:vAlign w:val="center"/>
          </w:tcPr>
          <w:p w14:paraId="1A8F50D2" w14:textId="77777777" w:rsidR="008B002E" w:rsidRPr="008043C9" w:rsidRDefault="008B002E" w:rsidP="00035D26">
            <w:pPr>
              <w:pStyle w:val="Tabel"/>
            </w:pPr>
            <w:r w:rsidRPr="008043C9">
              <w:t>73.18%</w:t>
            </w:r>
          </w:p>
        </w:tc>
      </w:tr>
      <w:tr w:rsidR="008B002E" w:rsidRPr="008043C9" w14:paraId="6689BCE6" w14:textId="77777777" w:rsidTr="00AB2881">
        <w:trPr>
          <w:trHeight w:val="20"/>
          <w:jc w:val="center"/>
        </w:trPr>
        <w:tc>
          <w:tcPr>
            <w:tcW w:w="551" w:type="pct"/>
            <w:tcBorders>
              <w:top w:val="nil"/>
              <w:left w:val="nil"/>
              <w:bottom w:val="nil"/>
              <w:right w:val="nil"/>
            </w:tcBorders>
            <w:vAlign w:val="center"/>
          </w:tcPr>
          <w:p w14:paraId="617E1C41" w14:textId="77777777" w:rsidR="008B002E" w:rsidRPr="008043C9" w:rsidRDefault="008B002E" w:rsidP="00035D26">
            <w:pPr>
              <w:pStyle w:val="Tabel"/>
            </w:pPr>
            <w:r w:rsidRPr="008043C9">
              <w:t>M3</w:t>
            </w:r>
          </w:p>
        </w:tc>
        <w:tc>
          <w:tcPr>
            <w:tcW w:w="717" w:type="pct"/>
            <w:tcBorders>
              <w:top w:val="nil"/>
              <w:left w:val="nil"/>
              <w:bottom w:val="nil"/>
              <w:right w:val="nil"/>
            </w:tcBorders>
            <w:vAlign w:val="center"/>
          </w:tcPr>
          <w:p w14:paraId="3E0EC2B4" w14:textId="77777777" w:rsidR="008B002E" w:rsidRPr="008043C9" w:rsidRDefault="008B002E" w:rsidP="00035D26">
            <w:pPr>
              <w:pStyle w:val="Tabel"/>
            </w:pPr>
            <w:r w:rsidRPr="008043C9">
              <w:t>1</w:t>
            </w:r>
          </w:p>
        </w:tc>
        <w:tc>
          <w:tcPr>
            <w:tcW w:w="763" w:type="pct"/>
            <w:tcBorders>
              <w:top w:val="nil"/>
              <w:left w:val="nil"/>
              <w:bottom w:val="nil"/>
              <w:right w:val="nil"/>
            </w:tcBorders>
            <w:vAlign w:val="center"/>
          </w:tcPr>
          <w:p w14:paraId="57504C1B" w14:textId="77777777" w:rsidR="008B002E" w:rsidRPr="008043C9" w:rsidRDefault="008B002E" w:rsidP="00035D26">
            <w:pPr>
              <w:pStyle w:val="Tabel"/>
            </w:pPr>
            <w:r w:rsidRPr="008043C9">
              <w:t>0.45%</w:t>
            </w:r>
          </w:p>
        </w:tc>
        <w:tc>
          <w:tcPr>
            <w:tcW w:w="893" w:type="pct"/>
            <w:tcBorders>
              <w:top w:val="nil"/>
              <w:left w:val="nil"/>
              <w:bottom w:val="nil"/>
              <w:right w:val="nil"/>
            </w:tcBorders>
            <w:vAlign w:val="center"/>
          </w:tcPr>
          <w:p w14:paraId="3E84840C" w14:textId="77777777" w:rsidR="008B002E" w:rsidRPr="008043C9" w:rsidRDefault="008B002E" w:rsidP="00035D26">
            <w:pPr>
              <w:pStyle w:val="Tabel"/>
            </w:pPr>
            <w:r w:rsidRPr="008043C9">
              <w:t>15</w:t>
            </w:r>
          </w:p>
        </w:tc>
        <w:tc>
          <w:tcPr>
            <w:tcW w:w="763" w:type="pct"/>
            <w:tcBorders>
              <w:top w:val="nil"/>
              <w:left w:val="nil"/>
              <w:bottom w:val="nil"/>
              <w:right w:val="nil"/>
            </w:tcBorders>
            <w:vAlign w:val="center"/>
          </w:tcPr>
          <w:p w14:paraId="7CCA8AD6" w14:textId="77777777" w:rsidR="008B002E" w:rsidRPr="008043C9" w:rsidRDefault="008B002E" w:rsidP="00035D26">
            <w:pPr>
              <w:pStyle w:val="Tabel"/>
            </w:pPr>
            <w:r w:rsidRPr="008043C9">
              <w:t>6.82%</w:t>
            </w:r>
          </w:p>
        </w:tc>
        <w:tc>
          <w:tcPr>
            <w:tcW w:w="551" w:type="pct"/>
            <w:tcBorders>
              <w:top w:val="nil"/>
              <w:left w:val="nil"/>
              <w:bottom w:val="nil"/>
              <w:right w:val="nil"/>
            </w:tcBorders>
            <w:vAlign w:val="center"/>
          </w:tcPr>
          <w:p w14:paraId="013D22B7" w14:textId="77777777" w:rsidR="008B002E" w:rsidRPr="008043C9" w:rsidRDefault="008B002E" w:rsidP="00035D26">
            <w:pPr>
              <w:pStyle w:val="Tabel"/>
            </w:pPr>
            <w:r w:rsidRPr="008043C9">
              <w:t>16</w:t>
            </w:r>
          </w:p>
        </w:tc>
        <w:tc>
          <w:tcPr>
            <w:tcW w:w="763" w:type="pct"/>
            <w:tcBorders>
              <w:top w:val="nil"/>
              <w:left w:val="nil"/>
              <w:bottom w:val="nil"/>
              <w:right w:val="nil"/>
            </w:tcBorders>
            <w:vAlign w:val="center"/>
          </w:tcPr>
          <w:p w14:paraId="21697A68" w14:textId="77777777" w:rsidR="008B002E" w:rsidRPr="008043C9" w:rsidRDefault="008B002E" w:rsidP="00035D26">
            <w:pPr>
              <w:pStyle w:val="Tabel"/>
            </w:pPr>
            <w:r w:rsidRPr="008043C9">
              <w:t>7.27%</w:t>
            </w:r>
          </w:p>
        </w:tc>
      </w:tr>
      <w:tr w:rsidR="008B002E" w:rsidRPr="008043C9" w14:paraId="3E878B73" w14:textId="77777777" w:rsidTr="00AB2881">
        <w:trPr>
          <w:trHeight w:val="20"/>
          <w:jc w:val="center"/>
        </w:trPr>
        <w:tc>
          <w:tcPr>
            <w:tcW w:w="551" w:type="pct"/>
            <w:tcBorders>
              <w:top w:val="nil"/>
              <w:left w:val="nil"/>
              <w:bottom w:val="single" w:sz="4" w:space="0" w:color="auto"/>
              <w:right w:val="nil"/>
            </w:tcBorders>
            <w:vAlign w:val="center"/>
          </w:tcPr>
          <w:p w14:paraId="4D20B615" w14:textId="77777777" w:rsidR="008B002E" w:rsidRPr="008043C9" w:rsidRDefault="008B002E" w:rsidP="00035D26">
            <w:pPr>
              <w:pStyle w:val="Tabel"/>
            </w:pPr>
            <w:r w:rsidRPr="008043C9">
              <w:t>Total</w:t>
            </w:r>
          </w:p>
        </w:tc>
        <w:tc>
          <w:tcPr>
            <w:tcW w:w="717" w:type="pct"/>
            <w:tcBorders>
              <w:top w:val="nil"/>
              <w:left w:val="nil"/>
              <w:bottom w:val="single" w:sz="4" w:space="0" w:color="auto"/>
              <w:right w:val="nil"/>
            </w:tcBorders>
            <w:vAlign w:val="center"/>
          </w:tcPr>
          <w:p w14:paraId="7AF622C9" w14:textId="77777777" w:rsidR="008B002E" w:rsidRPr="008043C9" w:rsidRDefault="008B002E" w:rsidP="00035D26">
            <w:pPr>
              <w:pStyle w:val="Tabel"/>
            </w:pPr>
            <w:r w:rsidRPr="008043C9">
              <w:t>38</w:t>
            </w:r>
          </w:p>
        </w:tc>
        <w:tc>
          <w:tcPr>
            <w:tcW w:w="763" w:type="pct"/>
            <w:tcBorders>
              <w:top w:val="nil"/>
              <w:left w:val="nil"/>
              <w:bottom w:val="single" w:sz="4" w:space="0" w:color="auto"/>
              <w:right w:val="nil"/>
            </w:tcBorders>
            <w:vAlign w:val="center"/>
          </w:tcPr>
          <w:p w14:paraId="4FA16D15" w14:textId="77777777" w:rsidR="008B002E" w:rsidRPr="008043C9" w:rsidRDefault="008B002E" w:rsidP="00035D26">
            <w:pPr>
              <w:pStyle w:val="Tabel"/>
            </w:pPr>
            <w:r w:rsidRPr="008043C9">
              <w:t>17.27%</w:t>
            </w:r>
          </w:p>
        </w:tc>
        <w:tc>
          <w:tcPr>
            <w:tcW w:w="893" w:type="pct"/>
            <w:tcBorders>
              <w:top w:val="nil"/>
              <w:left w:val="nil"/>
              <w:bottom w:val="single" w:sz="4" w:space="0" w:color="auto"/>
              <w:right w:val="nil"/>
            </w:tcBorders>
            <w:vAlign w:val="center"/>
          </w:tcPr>
          <w:p w14:paraId="7EE2A667" w14:textId="77777777" w:rsidR="008B002E" w:rsidRPr="008043C9" w:rsidRDefault="008B002E" w:rsidP="00035D26">
            <w:pPr>
              <w:pStyle w:val="Tabel"/>
            </w:pPr>
            <w:r w:rsidRPr="008043C9">
              <w:t>182</w:t>
            </w:r>
          </w:p>
        </w:tc>
        <w:tc>
          <w:tcPr>
            <w:tcW w:w="763" w:type="pct"/>
            <w:tcBorders>
              <w:top w:val="nil"/>
              <w:left w:val="nil"/>
              <w:bottom w:val="single" w:sz="4" w:space="0" w:color="auto"/>
              <w:right w:val="nil"/>
            </w:tcBorders>
            <w:vAlign w:val="center"/>
          </w:tcPr>
          <w:p w14:paraId="5816AD36" w14:textId="77777777" w:rsidR="008B002E" w:rsidRPr="008043C9" w:rsidRDefault="008B002E" w:rsidP="00035D26">
            <w:pPr>
              <w:pStyle w:val="Tabel"/>
            </w:pPr>
            <w:r w:rsidRPr="008043C9">
              <w:t>82.73%</w:t>
            </w:r>
          </w:p>
        </w:tc>
        <w:tc>
          <w:tcPr>
            <w:tcW w:w="551" w:type="pct"/>
            <w:tcBorders>
              <w:top w:val="nil"/>
              <w:left w:val="nil"/>
              <w:bottom w:val="single" w:sz="4" w:space="0" w:color="auto"/>
              <w:right w:val="nil"/>
            </w:tcBorders>
            <w:vAlign w:val="center"/>
          </w:tcPr>
          <w:p w14:paraId="78FFCAC1" w14:textId="77777777" w:rsidR="008B002E" w:rsidRPr="008043C9" w:rsidRDefault="008B002E" w:rsidP="00035D26">
            <w:pPr>
              <w:pStyle w:val="Tabel"/>
            </w:pPr>
            <w:r w:rsidRPr="008043C9">
              <w:t>220</w:t>
            </w:r>
          </w:p>
        </w:tc>
        <w:tc>
          <w:tcPr>
            <w:tcW w:w="763" w:type="pct"/>
            <w:tcBorders>
              <w:top w:val="nil"/>
              <w:left w:val="nil"/>
              <w:bottom w:val="single" w:sz="4" w:space="0" w:color="auto"/>
              <w:right w:val="nil"/>
            </w:tcBorders>
            <w:vAlign w:val="center"/>
          </w:tcPr>
          <w:p w14:paraId="08123BAA" w14:textId="77777777" w:rsidR="008B002E" w:rsidRPr="008043C9" w:rsidRDefault="008B002E" w:rsidP="00035D26">
            <w:pPr>
              <w:pStyle w:val="Tabel"/>
            </w:pPr>
            <w:r w:rsidRPr="008043C9">
              <w:t>100%</w:t>
            </w:r>
          </w:p>
        </w:tc>
      </w:tr>
    </w:tbl>
    <w:p w14:paraId="70FD986F" w14:textId="77777777" w:rsidR="008B002E" w:rsidRPr="008043C9" w:rsidRDefault="008B002E" w:rsidP="007127FC">
      <w:pPr>
        <w:pStyle w:val="IsiNaskah"/>
      </w:pPr>
    </w:p>
    <w:p w14:paraId="338FFB6E" w14:textId="090A624B" w:rsidR="008B002E" w:rsidRPr="008043C9" w:rsidRDefault="008B002E" w:rsidP="007127FC">
      <w:pPr>
        <w:pStyle w:val="IsiNaskah"/>
      </w:pPr>
      <w:r w:rsidRPr="008043C9">
        <w:t>Based on morphological classification, hypotaurodontism was the most prevalent subtype, accounting for 66.37% of cases, followed by mesotaurodontism (30.00%), whereas hypertaurodontism was the least common subtype (3.63%) (Table 2). Collectively, these findings suggest that, in the Saraswati Dental Hospital patient population, taurodontism was observed predominantly in adolescents, occurred more frequently in the mandible, and was most commonly expressed as the hypotaurodontism subtype.</w:t>
      </w:r>
    </w:p>
    <w:p w14:paraId="35AD6CE6" w14:textId="77777777" w:rsidR="008B002E" w:rsidRPr="008043C9" w:rsidRDefault="008B002E" w:rsidP="00B92E1B">
      <w:pPr>
        <w:pStyle w:val="JudulTabel"/>
        <w:rPr>
          <w:rFonts w:eastAsiaTheme="minorEastAsia"/>
        </w:rPr>
      </w:pPr>
      <w:r w:rsidRPr="008043C9">
        <w:rPr>
          <w:rFonts w:eastAsiaTheme="minorEastAsia"/>
        </w:rPr>
        <w:t>Table 2. Morphological distribution of taurodontism by jaw</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
        <w:gridCol w:w="497"/>
        <w:gridCol w:w="675"/>
        <w:gridCol w:w="495"/>
        <w:gridCol w:w="675"/>
        <w:gridCol w:w="366"/>
        <w:gridCol w:w="580"/>
        <w:gridCol w:w="391"/>
      </w:tblGrid>
      <w:tr w:rsidR="008B002E" w:rsidRPr="008043C9" w14:paraId="2F5D191F" w14:textId="77777777" w:rsidTr="00427C47">
        <w:trPr>
          <w:trHeight w:val="20"/>
          <w:jc w:val="center"/>
        </w:trPr>
        <w:tc>
          <w:tcPr>
            <w:tcW w:w="965" w:type="pct"/>
            <w:tcBorders>
              <w:top w:val="single" w:sz="4" w:space="0" w:color="auto"/>
              <w:bottom w:val="single" w:sz="4" w:space="0" w:color="auto"/>
            </w:tcBorders>
            <w:vAlign w:val="center"/>
          </w:tcPr>
          <w:p w14:paraId="59378766" w14:textId="77777777" w:rsidR="008B002E" w:rsidRPr="008043C9" w:rsidRDefault="008B002E" w:rsidP="00427C47">
            <w:pPr>
              <w:pStyle w:val="Tabel"/>
            </w:pPr>
          </w:p>
        </w:tc>
        <w:tc>
          <w:tcPr>
            <w:tcW w:w="645" w:type="pct"/>
            <w:tcBorders>
              <w:top w:val="single" w:sz="4" w:space="0" w:color="auto"/>
              <w:bottom w:val="single" w:sz="4" w:space="0" w:color="auto"/>
            </w:tcBorders>
            <w:vAlign w:val="center"/>
          </w:tcPr>
          <w:p w14:paraId="425237B6" w14:textId="77777777" w:rsidR="008B002E" w:rsidRPr="008043C9" w:rsidRDefault="008B002E" w:rsidP="00427C47">
            <w:pPr>
              <w:pStyle w:val="Tabel"/>
            </w:pPr>
            <w:r w:rsidRPr="008043C9">
              <w:t>Hypo</w:t>
            </w:r>
          </w:p>
        </w:tc>
        <w:tc>
          <w:tcPr>
            <w:tcW w:w="565" w:type="pct"/>
            <w:tcBorders>
              <w:top w:val="single" w:sz="4" w:space="0" w:color="auto"/>
              <w:bottom w:val="single" w:sz="4" w:space="0" w:color="auto"/>
            </w:tcBorders>
            <w:vAlign w:val="center"/>
          </w:tcPr>
          <w:p w14:paraId="67300AEB" w14:textId="77777777" w:rsidR="008B002E" w:rsidRPr="008043C9" w:rsidRDefault="008B002E" w:rsidP="00427C47">
            <w:pPr>
              <w:pStyle w:val="Tabel"/>
            </w:pPr>
            <w:r w:rsidRPr="008043C9">
              <w:t>%</w:t>
            </w:r>
          </w:p>
        </w:tc>
        <w:tc>
          <w:tcPr>
            <w:tcW w:w="645" w:type="pct"/>
            <w:tcBorders>
              <w:top w:val="single" w:sz="4" w:space="0" w:color="auto"/>
              <w:bottom w:val="single" w:sz="4" w:space="0" w:color="auto"/>
            </w:tcBorders>
            <w:vAlign w:val="center"/>
          </w:tcPr>
          <w:p w14:paraId="391FD65A" w14:textId="77777777" w:rsidR="008B002E" w:rsidRPr="008043C9" w:rsidRDefault="008B002E" w:rsidP="00427C47">
            <w:pPr>
              <w:pStyle w:val="Tabel"/>
            </w:pPr>
            <w:r w:rsidRPr="008043C9">
              <w:t>Meso</w:t>
            </w:r>
          </w:p>
        </w:tc>
        <w:tc>
          <w:tcPr>
            <w:tcW w:w="565" w:type="pct"/>
            <w:tcBorders>
              <w:top w:val="single" w:sz="4" w:space="0" w:color="auto"/>
              <w:bottom w:val="single" w:sz="4" w:space="0" w:color="auto"/>
            </w:tcBorders>
            <w:vAlign w:val="center"/>
          </w:tcPr>
          <w:p w14:paraId="156F13A3" w14:textId="77777777" w:rsidR="008B002E" w:rsidRPr="008043C9" w:rsidRDefault="008B002E" w:rsidP="00427C47">
            <w:pPr>
              <w:pStyle w:val="Tabel"/>
            </w:pPr>
            <w:r w:rsidRPr="008043C9">
              <w:t>%</w:t>
            </w:r>
          </w:p>
        </w:tc>
        <w:tc>
          <w:tcPr>
            <w:tcW w:w="565" w:type="pct"/>
            <w:tcBorders>
              <w:top w:val="single" w:sz="4" w:space="0" w:color="auto"/>
              <w:bottom w:val="single" w:sz="4" w:space="0" w:color="auto"/>
            </w:tcBorders>
            <w:vAlign w:val="center"/>
          </w:tcPr>
          <w:p w14:paraId="61511EFE" w14:textId="77777777" w:rsidR="008B002E" w:rsidRPr="008043C9" w:rsidRDefault="008B002E" w:rsidP="00427C47">
            <w:pPr>
              <w:pStyle w:val="Tabel"/>
            </w:pPr>
            <w:r w:rsidRPr="008043C9">
              <w:t>Hyper</w:t>
            </w:r>
          </w:p>
        </w:tc>
        <w:tc>
          <w:tcPr>
            <w:tcW w:w="565" w:type="pct"/>
            <w:tcBorders>
              <w:top w:val="single" w:sz="4" w:space="0" w:color="auto"/>
              <w:bottom w:val="single" w:sz="4" w:space="0" w:color="auto"/>
            </w:tcBorders>
            <w:vAlign w:val="center"/>
          </w:tcPr>
          <w:p w14:paraId="001EDAC2" w14:textId="77777777" w:rsidR="008B002E" w:rsidRPr="008043C9" w:rsidRDefault="008B002E" w:rsidP="00427C47">
            <w:pPr>
              <w:pStyle w:val="Tabel"/>
            </w:pPr>
            <w:r w:rsidRPr="008043C9">
              <w:t>%</w:t>
            </w:r>
          </w:p>
        </w:tc>
        <w:tc>
          <w:tcPr>
            <w:tcW w:w="484" w:type="pct"/>
            <w:tcBorders>
              <w:top w:val="single" w:sz="4" w:space="0" w:color="auto"/>
              <w:bottom w:val="single" w:sz="4" w:space="0" w:color="auto"/>
            </w:tcBorders>
            <w:vAlign w:val="center"/>
          </w:tcPr>
          <w:p w14:paraId="3ABAE7D8" w14:textId="77777777" w:rsidR="008B002E" w:rsidRPr="008043C9" w:rsidRDefault="008B002E" w:rsidP="00427C47">
            <w:pPr>
              <w:pStyle w:val="Tabel"/>
            </w:pPr>
            <w:r w:rsidRPr="008043C9">
              <w:t>Total</w:t>
            </w:r>
          </w:p>
        </w:tc>
      </w:tr>
      <w:tr w:rsidR="008B002E" w:rsidRPr="008043C9" w14:paraId="6B1C32C6" w14:textId="77777777" w:rsidTr="00427C47">
        <w:trPr>
          <w:trHeight w:val="20"/>
          <w:jc w:val="center"/>
        </w:trPr>
        <w:tc>
          <w:tcPr>
            <w:tcW w:w="965" w:type="pct"/>
            <w:tcBorders>
              <w:top w:val="single" w:sz="4" w:space="0" w:color="auto"/>
            </w:tcBorders>
            <w:vAlign w:val="center"/>
          </w:tcPr>
          <w:p w14:paraId="21997F59" w14:textId="77777777" w:rsidR="008B002E" w:rsidRPr="008043C9" w:rsidRDefault="008B002E" w:rsidP="00427C47">
            <w:pPr>
              <w:pStyle w:val="Tabel"/>
            </w:pPr>
            <w:r w:rsidRPr="008043C9">
              <w:t>Maxilla</w:t>
            </w:r>
          </w:p>
        </w:tc>
        <w:tc>
          <w:tcPr>
            <w:tcW w:w="645" w:type="pct"/>
            <w:tcBorders>
              <w:top w:val="single" w:sz="4" w:space="0" w:color="auto"/>
            </w:tcBorders>
            <w:vAlign w:val="center"/>
          </w:tcPr>
          <w:p w14:paraId="18B73EF1" w14:textId="77777777" w:rsidR="008B002E" w:rsidRPr="008043C9" w:rsidRDefault="008B002E" w:rsidP="00427C47">
            <w:pPr>
              <w:pStyle w:val="Tabel"/>
            </w:pPr>
            <w:r w:rsidRPr="008043C9">
              <w:t>15</w:t>
            </w:r>
          </w:p>
        </w:tc>
        <w:tc>
          <w:tcPr>
            <w:tcW w:w="565" w:type="pct"/>
            <w:tcBorders>
              <w:top w:val="single" w:sz="4" w:space="0" w:color="auto"/>
            </w:tcBorders>
            <w:vAlign w:val="center"/>
          </w:tcPr>
          <w:p w14:paraId="48F67393" w14:textId="77777777" w:rsidR="008B002E" w:rsidRPr="008043C9" w:rsidRDefault="008B002E" w:rsidP="00427C47">
            <w:pPr>
              <w:pStyle w:val="Tabel"/>
            </w:pPr>
            <w:r w:rsidRPr="008043C9">
              <w:t>6.82%</w:t>
            </w:r>
          </w:p>
        </w:tc>
        <w:tc>
          <w:tcPr>
            <w:tcW w:w="645" w:type="pct"/>
            <w:tcBorders>
              <w:top w:val="single" w:sz="4" w:space="0" w:color="auto"/>
            </w:tcBorders>
            <w:vAlign w:val="center"/>
          </w:tcPr>
          <w:p w14:paraId="31BCA7F1" w14:textId="77777777" w:rsidR="008B002E" w:rsidRPr="008043C9" w:rsidRDefault="008B002E" w:rsidP="00427C47">
            <w:pPr>
              <w:pStyle w:val="Tabel"/>
            </w:pPr>
            <w:r w:rsidRPr="008043C9">
              <w:t>20</w:t>
            </w:r>
          </w:p>
        </w:tc>
        <w:tc>
          <w:tcPr>
            <w:tcW w:w="565" w:type="pct"/>
            <w:tcBorders>
              <w:top w:val="single" w:sz="4" w:space="0" w:color="auto"/>
            </w:tcBorders>
            <w:vAlign w:val="center"/>
          </w:tcPr>
          <w:p w14:paraId="2D83A4B7" w14:textId="77777777" w:rsidR="008B002E" w:rsidRPr="008043C9" w:rsidRDefault="008B002E" w:rsidP="00427C47">
            <w:pPr>
              <w:pStyle w:val="Tabel"/>
            </w:pPr>
            <w:r w:rsidRPr="008043C9">
              <w:t>9.09%</w:t>
            </w:r>
          </w:p>
        </w:tc>
        <w:tc>
          <w:tcPr>
            <w:tcW w:w="565" w:type="pct"/>
            <w:tcBorders>
              <w:top w:val="single" w:sz="4" w:space="0" w:color="auto"/>
            </w:tcBorders>
            <w:vAlign w:val="center"/>
          </w:tcPr>
          <w:p w14:paraId="2E52C3FE" w14:textId="77777777" w:rsidR="008B002E" w:rsidRPr="008043C9" w:rsidRDefault="008B002E" w:rsidP="00427C47">
            <w:pPr>
              <w:pStyle w:val="Tabel"/>
            </w:pPr>
            <w:r w:rsidRPr="008043C9">
              <w:t>3</w:t>
            </w:r>
          </w:p>
        </w:tc>
        <w:tc>
          <w:tcPr>
            <w:tcW w:w="565" w:type="pct"/>
            <w:tcBorders>
              <w:top w:val="single" w:sz="4" w:space="0" w:color="auto"/>
            </w:tcBorders>
            <w:vAlign w:val="center"/>
          </w:tcPr>
          <w:p w14:paraId="3835B400" w14:textId="77777777" w:rsidR="008B002E" w:rsidRPr="008043C9" w:rsidRDefault="008B002E" w:rsidP="00427C47">
            <w:pPr>
              <w:pStyle w:val="Tabel"/>
            </w:pPr>
            <w:r w:rsidRPr="008043C9">
              <w:t>1.36%</w:t>
            </w:r>
          </w:p>
        </w:tc>
        <w:tc>
          <w:tcPr>
            <w:tcW w:w="484" w:type="pct"/>
            <w:tcBorders>
              <w:top w:val="single" w:sz="4" w:space="0" w:color="auto"/>
            </w:tcBorders>
            <w:vAlign w:val="center"/>
          </w:tcPr>
          <w:p w14:paraId="7F473DD6" w14:textId="77777777" w:rsidR="008B002E" w:rsidRPr="008043C9" w:rsidRDefault="008B002E" w:rsidP="00427C47">
            <w:pPr>
              <w:pStyle w:val="Tabel"/>
            </w:pPr>
            <w:r w:rsidRPr="008043C9">
              <w:t>38</w:t>
            </w:r>
          </w:p>
        </w:tc>
      </w:tr>
      <w:tr w:rsidR="008B002E" w:rsidRPr="008043C9" w14:paraId="16B801C1" w14:textId="77777777" w:rsidTr="00427C47">
        <w:trPr>
          <w:trHeight w:val="20"/>
          <w:jc w:val="center"/>
        </w:trPr>
        <w:tc>
          <w:tcPr>
            <w:tcW w:w="965" w:type="pct"/>
            <w:tcBorders>
              <w:bottom w:val="nil"/>
            </w:tcBorders>
            <w:vAlign w:val="center"/>
          </w:tcPr>
          <w:p w14:paraId="33D4D5D5" w14:textId="77777777" w:rsidR="008B002E" w:rsidRPr="008043C9" w:rsidRDefault="008B002E" w:rsidP="00427C47">
            <w:pPr>
              <w:pStyle w:val="Tabel"/>
            </w:pPr>
            <w:r w:rsidRPr="008043C9">
              <w:t>Mandible</w:t>
            </w:r>
          </w:p>
        </w:tc>
        <w:tc>
          <w:tcPr>
            <w:tcW w:w="645" w:type="pct"/>
            <w:tcBorders>
              <w:bottom w:val="nil"/>
            </w:tcBorders>
            <w:vAlign w:val="center"/>
          </w:tcPr>
          <w:p w14:paraId="071C289F" w14:textId="77777777" w:rsidR="008B002E" w:rsidRPr="008043C9" w:rsidRDefault="008B002E" w:rsidP="00427C47">
            <w:pPr>
              <w:pStyle w:val="Tabel"/>
            </w:pPr>
            <w:r w:rsidRPr="008043C9">
              <w:t>131</w:t>
            </w:r>
          </w:p>
        </w:tc>
        <w:tc>
          <w:tcPr>
            <w:tcW w:w="565" w:type="pct"/>
            <w:tcBorders>
              <w:bottom w:val="nil"/>
            </w:tcBorders>
            <w:vAlign w:val="center"/>
          </w:tcPr>
          <w:p w14:paraId="5E4EFFE0" w14:textId="77777777" w:rsidR="008B002E" w:rsidRPr="008043C9" w:rsidRDefault="008B002E" w:rsidP="00427C47">
            <w:pPr>
              <w:pStyle w:val="Tabel"/>
            </w:pPr>
            <w:r w:rsidRPr="008043C9">
              <w:t>59.55%</w:t>
            </w:r>
          </w:p>
        </w:tc>
        <w:tc>
          <w:tcPr>
            <w:tcW w:w="645" w:type="pct"/>
            <w:tcBorders>
              <w:bottom w:val="nil"/>
            </w:tcBorders>
            <w:vAlign w:val="center"/>
          </w:tcPr>
          <w:p w14:paraId="17BB2359" w14:textId="77777777" w:rsidR="008B002E" w:rsidRPr="008043C9" w:rsidRDefault="008B002E" w:rsidP="00427C47">
            <w:pPr>
              <w:pStyle w:val="Tabel"/>
            </w:pPr>
            <w:r w:rsidRPr="008043C9">
              <w:t>46</w:t>
            </w:r>
          </w:p>
        </w:tc>
        <w:tc>
          <w:tcPr>
            <w:tcW w:w="565" w:type="pct"/>
            <w:tcBorders>
              <w:bottom w:val="nil"/>
            </w:tcBorders>
            <w:vAlign w:val="center"/>
          </w:tcPr>
          <w:p w14:paraId="0147C130" w14:textId="77777777" w:rsidR="008B002E" w:rsidRPr="008043C9" w:rsidRDefault="008B002E" w:rsidP="00427C47">
            <w:pPr>
              <w:pStyle w:val="Tabel"/>
            </w:pPr>
            <w:r w:rsidRPr="008043C9">
              <w:t>20.91%</w:t>
            </w:r>
          </w:p>
        </w:tc>
        <w:tc>
          <w:tcPr>
            <w:tcW w:w="565" w:type="pct"/>
            <w:tcBorders>
              <w:bottom w:val="nil"/>
            </w:tcBorders>
            <w:vAlign w:val="center"/>
          </w:tcPr>
          <w:p w14:paraId="38CAF63A" w14:textId="77777777" w:rsidR="008B002E" w:rsidRPr="008043C9" w:rsidRDefault="008B002E" w:rsidP="00427C47">
            <w:pPr>
              <w:pStyle w:val="Tabel"/>
            </w:pPr>
            <w:r w:rsidRPr="008043C9">
              <w:t>5</w:t>
            </w:r>
          </w:p>
        </w:tc>
        <w:tc>
          <w:tcPr>
            <w:tcW w:w="565" w:type="pct"/>
            <w:tcBorders>
              <w:bottom w:val="nil"/>
            </w:tcBorders>
            <w:vAlign w:val="center"/>
          </w:tcPr>
          <w:p w14:paraId="5D54D3DB" w14:textId="77777777" w:rsidR="008B002E" w:rsidRPr="008043C9" w:rsidRDefault="008B002E" w:rsidP="00427C47">
            <w:pPr>
              <w:pStyle w:val="Tabel"/>
            </w:pPr>
            <w:r w:rsidRPr="008043C9">
              <w:t>2.27%</w:t>
            </w:r>
          </w:p>
        </w:tc>
        <w:tc>
          <w:tcPr>
            <w:tcW w:w="484" w:type="pct"/>
            <w:tcBorders>
              <w:bottom w:val="nil"/>
            </w:tcBorders>
            <w:vAlign w:val="center"/>
          </w:tcPr>
          <w:p w14:paraId="1A505420" w14:textId="77777777" w:rsidR="008B002E" w:rsidRPr="008043C9" w:rsidRDefault="008B002E" w:rsidP="00427C47">
            <w:pPr>
              <w:pStyle w:val="Tabel"/>
            </w:pPr>
            <w:r w:rsidRPr="008043C9">
              <w:t>182</w:t>
            </w:r>
          </w:p>
        </w:tc>
      </w:tr>
      <w:tr w:rsidR="008B002E" w:rsidRPr="008043C9" w14:paraId="41F8E7E4" w14:textId="77777777" w:rsidTr="00427C47">
        <w:trPr>
          <w:trHeight w:val="20"/>
          <w:jc w:val="center"/>
        </w:trPr>
        <w:tc>
          <w:tcPr>
            <w:tcW w:w="965" w:type="pct"/>
            <w:tcBorders>
              <w:top w:val="nil"/>
              <w:bottom w:val="single" w:sz="4" w:space="0" w:color="auto"/>
            </w:tcBorders>
            <w:vAlign w:val="center"/>
          </w:tcPr>
          <w:p w14:paraId="2C281072" w14:textId="77777777" w:rsidR="008B002E" w:rsidRPr="008043C9" w:rsidRDefault="008B002E" w:rsidP="00427C47">
            <w:pPr>
              <w:pStyle w:val="Tabel"/>
            </w:pPr>
            <w:r w:rsidRPr="008043C9">
              <w:t>Total</w:t>
            </w:r>
          </w:p>
        </w:tc>
        <w:tc>
          <w:tcPr>
            <w:tcW w:w="645" w:type="pct"/>
            <w:tcBorders>
              <w:top w:val="nil"/>
              <w:bottom w:val="single" w:sz="4" w:space="0" w:color="auto"/>
            </w:tcBorders>
            <w:vAlign w:val="center"/>
          </w:tcPr>
          <w:p w14:paraId="180BBC42" w14:textId="77777777" w:rsidR="008B002E" w:rsidRPr="008043C9" w:rsidRDefault="008B002E" w:rsidP="00427C47">
            <w:pPr>
              <w:pStyle w:val="Tabel"/>
            </w:pPr>
            <w:r w:rsidRPr="008043C9">
              <w:t>146</w:t>
            </w:r>
          </w:p>
        </w:tc>
        <w:tc>
          <w:tcPr>
            <w:tcW w:w="565" w:type="pct"/>
            <w:tcBorders>
              <w:top w:val="nil"/>
              <w:bottom w:val="single" w:sz="4" w:space="0" w:color="auto"/>
            </w:tcBorders>
            <w:vAlign w:val="center"/>
          </w:tcPr>
          <w:p w14:paraId="1541F776" w14:textId="77777777" w:rsidR="008B002E" w:rsidRPr="008043C9" w:rsidRDefault="008B002E" w:rsidP="00427C47">
            <w:pPr>
              <w:pStyle w:val="Tabel"/>
            </w:pPr>
            <w:r w:rsidRPr="008043C9">
              <w:t>66.37%</w:t>
            </w:r>
          </w:p>
        </w:tc>
        <w:tc>
          <w:tcPr>
            <w:tcW w:w="645" w:type="pct"/>
            <w:tcBorders>
              <w:top w:val="nil"/>
              <w:bottom w:val="single" w:sz="4" w:space="0" w:color="auto"/>
            </w:tcBorders>
            <w:vAlign w:val="center"/>
          </w:tcPr>
          <w:p w14:paraId="1EBF2849" w14:textId="77777777" w:rsidR="008B002E" w:rsidRPr="008043C9" w:rsidRDefault="008B002E" w:rsidP="00427C47">
            <w:pPr>
              <w:pStyle w:val="Tabel"/>
            </w:pPr>
            <w:r w:rsidRPr="008043C9">
              <w:t>66</w:t>
            </w:r>
          </w:p>
        </w:tc>
        <w:tc>
          <w:tcPr>
            <w:tcW w:w="565" w:type="pct"/>
            <w:tcBorders>
              <w:top w:val="nil"/>
              <w:bottom w:val="single" w:sz="4" w:space="0" w:color="auto"/>
            </w:tcBorders>
            <w:vAlign w:val="center"/>
          </w:tcPr>
          <w:p w14:paraId="267937C3" w14:textId="77777777" w:rsidR="008B002E" w:rsidRPr="008043C9" w:rsidRDefault="008B002E" w:rsidP="00427C47">
            <w:pPr>
              <w:pStyle w:val="Tabel"/>
            </w:pPr>
            <w:r w:rsidRPr="008043C9">
              <w:t>30.00%</w:t>
            </w:r>
          </w:p>
        </w:tc>
        <w:tc>
          <w:tcPr>
            <w:tcW w:w="565" w:type="pct"/>
            <w:tcBorders>
              <w:top w:val="nil"/>
              <w:bottom w:val="single" w:sz="4" w:space="0" w:color="auto"/>
            </w:tcBorders>
            <w:vAlign w:val="center"/>
          </w:tcPr>
          <w:p w14:paraId="135CF302" w14:textId="77777777" w:rsidR="008B002E" w:rsidRPr="008043C9" w:rsidRDefault="008B002E" w:rsidP="00427C47">
            <w:pPr>
              <w:pStyle w:val="Tabel"/>
            </w:pPr>
            <w:r w:rsidRPr="008043C9">
              <w:t>8</w:t>
            </w:r>
          </w:p>
        </w:tc>
        <w:tc>
          <w:tcPr>
            <w:tcW w:w="565" w:type="pct"/>
            <w:tcBorders>
              <w:top w:val="nil"/>
              <w:bottom w:val="single" w:sz="4" w:space="0" w:color="auto"/>
            </w:tcBorders>
            <w:vAlign w:val="center"/>
          </w:tcPr>
          <w:p w14:paraId="6FE34BEC" w14:textId="77777777" w:rsidR="008B002E" w:rsidRPr="008043C9" w:rsidRDefault="008B002E" w:rsidP="00427C47">
            <w:pPr>
              <w:pStyle w:val="Tabel"/>
            </w:pPr>
            <w:r w:rsidRPr="008043C9">
              <w:t>3.63%</w:t>
            </w:r>
          </w:p>
        </w:tc>
        <w:tc>
          <w:tcPr>
            <w:tcW w:w="484" w:type="pct"/>
            <w:tcBorders>
              <w:top w:val="nil"/>
              <w:bottom w:val="single" w:sz="4" w:space="0" w:color="auto"/>
            </w:tcBorders>
            <w:vAlign w:val="center"/>
          </w:tcPr>
          <w:p w14:paraId="7DE47F69" w14:textId="77777777" w:rsidR="008B002E" w:rsidRPr="008043C9" w:rsidRDefault="008B002E" w:rsidP="00427C47">
            <w:pPr>
              <w:pStyle w:val="Tabel"/>
            </w:pPr>
            <w:r w:rsidRPr="008043C9">
              <w:t>220</w:t>
            </w:r>
          </w:p>
        </w:tc>
      </w:tr>
    </w:tbl>
    <w:p w14:paraId="04E4DC57" w14:textId="77777777" w:rsidR="008B002E" w:rsidRPr="008043C9" w:rsidRDefault="008B002E" w:rsidP="007127FC">
      <w:pPr>
        <w:pStyle w:val="IsiNaskah"/>
        <w:rPr>
          <w:b/>
        </w:rPr>
      </w:pPr>
    </w:p>
    <w:p w14:paraId="5AE5A628" w14:textId="77777777" w:rsidR="008B002E" w:rsidRPr="008043C9" w:rsidRDefault="008B002E" w:rsidP="007127FC">
      <w:pPr>
        <w:pStyle w:val="IsiNaskah"/>
        <w:rPr>
          <w:vertAlign w:val="superscript"/>
        </w:rPr>
      </w:pPr>
      <w:r w:rsidRPr="008043C9">
        <w:tab/>
        <w:t>The findings of this study reinforce that taurodontism is a dental morphological anomaly that can be reliably detected only through radiographic examination.</w:t>
      </w:r>
      <w:r w:rsidRPr="008043C9">
        <w:rPr>
          <w:vertAlign w:val="superscript"/>
        </w:rPr>
        <w:t>9</w:t>
      </w:r>
      <w:r w:rsidRPr="008043C9">
        <w:t xml:space="preserve"> Using a descriptive cross-sectional design and panoramic radiographic assessment with Cliniview®, this study estimated the prevalence of taurodontism according to age, jaw location, and morphological subtype over the 2021–2024 period. Among 3,289 radiographs reviewed, 106 cases of taurodontism were identified, corresponding to a prevalence of 3.22%. This estimate lies within the broad range reported globally (0.1%–48%) and is comparable to previous reports of approximately 3.5%. The present findings also support the notion that larger radiographic datasets may increase the likelihood of detecting this anomaly.</w:t>
      </w:r>
      <w:r w:rsidRPr="008043C9">
        <w:rPr>
          <w:vertAlign w:val="superscript"/>
        </w:rPr>
        <w:t>10, 11</w:t>
      </w:r>
    </w:p>
    <w:p w14:paraId="37244158" w14:textId="77777777" w:rsidR="008B002E" w:rsidRPr="008043C9" w:rsidRDefault="008B002E" w:rsidP="007127FC">
      <w:pPr>
        <w:pStyle w:val="IsiNaskah"/>
        <w:rPr>
          <w:vertAlign w:val="superscript"/>
        </w:rPr>
      </w:pPr>
      <w:r w:rsidRPr="008043C9">
        <w:tab/>
        <w:t>Age-stratified analysis showed that taurodontism was identified more frequently in adolescents (75.47%) than in adults (24.53%). This pattern is broadly consistent with previous reports; however, the possibility of misclassification on radiographic assessment should be considered, particularly in teeth with incomplete root development and in cases potentially related to delayed invagination of Hertwig’s epithelial root sheath (HERS).</w:t>
      </w:r>
      <w:r w:rsidRPr="008043C9">
        <w:rPr>
          <w:vertAlign w:val="superscript"/>
        </w:rPr>
        <w:t>12</w:t>
      </w:r>
      <w:r w:rsidRPr="008043C9">
        <w:t xml:space="preserve"> In terms of anatomical distribution, most cases were observed in the mandible (81.14%), in contrast to some studies reporting greater maxillary involvement. Such discrepancies may be explained, at least in part, by the known limitations of panoramic radiography, </w:t>
      </w:r>
      <w:r w:rsidRPr="008043C9">
        <w:lastRenderedPageBreak/>
        <w:t>including superimposition and image distortion, which may affect visualization of the furcation area and apical root boundaries.</w:t>
      </w:r>
      <w:r w:rsidRPr="008043C9">
        <w:rPr>
          <w:vertAlign w:val="superscript"/>
        </w:rPr>
        <w:t>13, 14</w:t>
      </w:r>
    </w:p>
    <w:p w14:paraId="04EBADA1" w14:textId="1227D84F" w:rsidR="008B002E" w:rsidRPr="008043C9" w:rsidRDefault="008B002E" w:rsidP="007127FC">
      <w:pPr>
        <w:pStyle w:val="IsiNaskah"/>
        <w:rPr>
          <w:vertAlign w:val="superscript"/>
        </w:rPr>
      </w:pPr>
      <w:r w:rsidRPr="008043C9">
        <w:t>According to Shaw’s morphological classification, hypotaurodontism was the most frequent subtype (66.37%), followed by mesotaurodontism (30.00%) and hypertaurodontism (3.63%). This distribution is consistent with previous literature and may reflect delayed HERS invagination as an important underlying developmental mechanism.</w:t>
      </w:r>
      <w:r w:rsidRPr="008043C9">
        <w:rPr>
          <w:vertAlign w:val="superscript"/>
        </w:rPr>
        <w:t>9</w:t>
      </w:r>
      <w:r w:rsidRPr="008043C9">
        <w:t xml:space="preserve"> In the present study, panoramic radiography was useful for identifying taurodontism, particularly in cases involving multiple teeth, and for supporting morphological classification. Key radiographic indicators included apically displaced furcation and an elongated pulp chamber, which are important for differentiating taurodontism from physiological conditions such as newly erupted permanent teeth.</w:t>
      </w:r>
      <w:r w:rsidRPr="008043C9">
        <w:rPr>
          <w:vertAlign w:val="superscript"/>
        </w:rPr>
        <w:t>10, 11</w:t>
      </w:r>
    </w:p>
    <w:p w14:paraId="6070B91A" w14:textId="1DA21B0E" w:rsidR="008B002E" w:rsidRPr="008043C9" w:rsidRDefault="008B002E" w:rsidP="007127FC">
      <w:pPr>
        <w:pStyle w:val="IsiNaskah"/>
      </w:pPr>
      <w:r w:rsidRPr="008043C9">
        <w:t>The clinical relevance of these findings extends across several dental disciplines. In endodontic treatment, complex canal anatomy in taurodont teeth may necessitate modifications in access design, instrumentation strategy, and irrigation protocols, including the use of 2.5% sodium hypochlorite.</w:t>
      </w:r>
      <w:r w:rsidRPr="008043C9">
        <w:rPr>
          <w:vertAlign w:val="superscript"/>
        </w:rPr>
        <w:t>2, 9</w:t>
      </w:r>
      <w:r w:rsidRPr="008043C9">
        <w:t xml:space="preserve"> In restorative dentistry, reconstruction may require minimally invasive preparation and reinforcement of the remaining tooth structure using materials such as glass ionomer cement (GIC) in combination with resin composite.</w:t>
      </w:r>
      <w:r w:rsidRPr="008043C9">
        <w:rPr>
          <w:vertAlign w:val="superscript"/>
        </w:rPr>
        <w:t>13</w:t>
      </w:r>
      <w:r w:rsidRPr="008043C9">
        <w:t xml:space="preserve"> In prosthodontics, taurodont teeth may be suboptimal as abutment teeth, while in oral surgery, extraction can be technically challenging and may increase the risk of mandibular fracture, making coronectomy a potential alternative in selected cases.</w:t>
      </w:r>
      <w:r w:rsidRPr="008043C9">
        <w:rPr>
          <w:vertAlign w:val="superscript"/>
        </w:rPr>
        <w:t>15</w:t>
      </w:r>
      <w:r w:rsidRPr="008043C9">
        <w:t xml:space="preserve"> In orthodontics, shortened roots may increase susceptibility to root resorption during tooth movement. In pediatric dentistry, </w:t>
      </w:r>
      <w:r w:rsidRPr="008043C9">
        <w:t>treatment planning may also require modifications related to crown placement, space maintainer design, and endodontic access. Collectively, these considerations underscore the importance of early detection and accurate radiographic interpretation to support safe and effective treatment planning in patients with taurodontism.</w:t>
      </w:r>
      <w:r w:rsidRPr="008043C9">
        <w:rPr>
          <w:vertAlign w:val="superscript"/>
        </w:rPr>
        <w:t>16</w:t>
      </w:r>
      <w:r w:rsidRPr="008043C9">
        <w:t xml:space="preserve"> </w:t>
      </w:r>
    </w:p>
    <w:p w14:paraId="5F79FC73" w14:textId="6EF49F15" w:rsidR="008B002E" w:rsidRPr="008043C9" w:rsidRDefault="008B002E" w:rsidP="007127FC">
      <w:pPr>
        <w:pStyle w:val="IsiNaskah"/>
      </w:pPr>
      <w:r w:rsidRPr="008043C9">
        <w:t>This study has several strengths, including a large sample size, an extended observation period, and a standardized digital measurement approach. Nonetheless, some limitations should be acknowledged. Panoramic radiography is inherently subject to distortion and superimposition, which may reduce the accuracy of root morphology assessment, and the absence of CBCT as a reference modality limits three-dimensional validation of root anatomy. Furthermore, the descriptive design precludes causal inference and does not allow evaluation of associated risk factors. In addition, formal intra- and inter-examiner reliability testing (e.g., Cohen’s kappa or intraclass correlation coefficient) was not performed, which may limit the reproducibility of radiographic measurements. Despite these limitations, the present findings highlight the value of early radiographic recognition and careful image interpretation in improving treatment planning for patients with taurodontism.</w:t>
      </w:r>
    </w:p>
    <w:p w14:paraId="6A60FF4F" w14:textId="77777777" w:rsidR="00AE2C2F" w:rsidRPr="008043C9" w:rsidRDefault="00AE2C2F" w:rsidP="00AE2C2F">
      <w:pPr>
        <w:pStyle w:val="IsiNaskah"/>
        <w:rPr>
          <w:kern w:val="16"/>
        </w:rPr>
      </w:pPr>
    </w:p>
    <w:p w14:paraId="262F7CAD" w14:textId="77777777" w:rsidR="00AE2C2F" w:rsidRPr="008043C9" w:rsidRDefault="00AE2C2F" w:rsidP="00AE2C2F">
      <w:pPr>
        <w:pStyle w:val="JudulBAB"/>
        <w:rPr>
          <w:kern w:val="16"/>
        </w:rPr>
      </w:pPr>
      <w:r w:rsidRPr="008043C9">
        <w:rPr>
          <w:kern w:val="16"/>
        </w:rPr>
        <w:t>CONCLUSION</w:t>
      </w:r>
    </w:p>
    <w:p w14:paraId="0903F1E5" w14:textId="2A49F492" w:rsidR="008B002E" w:rsidRPr="008043C9" w:rsidRDefault="008B002E" w:rsidP="0012762E">
      <w:pPr>
        <w:pStyle w:val="IsiNaskah"/>
      </w:pPr>
      <w:r w:rsidRPr="008043C9">
        <w:t xml:space="preserve">Taurodontism is a dental morphological anomaly diagnosed radiographically and associated with important clinical implications. Based on panoramic radiographs obtained at Saraswati Dental Hospital during 2021–2024, the prevalence of taurodontism was 3.22%, with predominance in adolescents, the mandible, and the hypotaurodontism subtype. These findings </w:t>
      </w:r>
      <w:r w:rsidRPr="008043C9">
        <w:lastRenderedPageBreak/>
        <w:t>emphasize the importance of early radiographic detection and careful interpretation to support safe and effective dental management and to reduce procedural complications across dental disciplines.</w:t>
      </w:r>
    </w:p>
    <w:p w14:paraId="389DEACD" w14:textId="77777777" w:rsidR="00A95CF1" w:rsidRPr="008043C9" w:rsidRDefault="00A95CF1" w:rsidP="00AE2C2F">
      <w:pPr>
        <w:pStyle w:val="JudulBAB"/>
        <w:rPr>
          <w:kern w:val="16"/>
        </w:rPr>
      </w:pPr>
    </w:p>
    <w:p w14:paraId="2C846585" w14:textId="481A6B94" w:rsidR="00AE2C2F" w:rsidRPr="008043C9" w:rsidRDefault="00AE2C2F" w:rsidP="00AE2C2F">
      <w:pPr>
        <w:pStyle w:val="JudulBAB"/>
        <w:rPr>
          <w:kern w:val="16"/>
        </w:rPr>
      </w:pPr>
      <w:r w:rsidRPr="008043C9">
        <w:rPr>
          <w:kern w:val="16"/>
        </w:rPr>
        <w:t>REFERENCES</w:t>
      </w:r>
    </w:p>
    <w:p w14:paraId="0A329556" w14:textId="77777777" w:rsidR="008B002E" w:rsidRPr="008043C9" w:rsidRDefault="008B002E" w:rsidP="0012762E">
      <w:pPr>
        <w:pStyle w:val="DaftarPustaka"/>
        <w:rPr>
          <w:shd w:val="clear" w:color="auto" w:fill="FFFFFF"/>
        </w:rPr>
      </w:pPr>
      <w:r w:rsidRPr="008043C9">
        <w:rPr>
          <w:shd w:val="clear" w:color="auto" w:fill="FFFFFF"/>
        </w:rPr>
        <w:t>Chetty M, Roomaney IA, Beighton P. Taurodontism in dental genetics. BDJ Open 2021; 7: 25. Doi:10.1038/s41405-021-00081-6.</w:t>
      </w:r>
    </w:p>
    <w:p w14:paraId="5197CA4D" w14:textId="77777777" w:rsidR="008B002E" w:rsidRPr="008043C9" w:rsidRDefault="008B002E" w:rsidP="0012762E">
      <w:pPr>
        <w:pStyle w:val="DaftarPustaka"/>
        <w:rPr>
          <w:shd w:val="clear" w:color="auto" w:fill="FFFFFF"/>
        </w:rPr>
      </w:pPr>
      <w:r w:rsidRPr="008043C9">
        <w:rPr>
          <w:shd w:val="clear" w:color="auto" w:fill="FFFFFF"/>
        </w:rPr>
        <w:t>Pach J, Regulski PA, Tomczyk J, Reymond J, Osipowicz K, Strużycka I. Prevalence of taurodontism in contemporary and historical populations from Radom: a biometric analysis of radiological data. J Clin Med. 2023; 12(18): 5988. Doi:10.3390/jcm12185988.</w:t>
      </w:r>
    </w:p>
    <w:p w14:paraId="4738BF71" w14:textId="77777777" w:rsidR="008B002E" w:rsidRPr="008043C9" w:rsidRDefault="008B002E" w:rsidP="0012762E">
      <w:pPr>
        <w:pStyle w:val="DaftarPustaka"/>
        <w:rPr>
          <w:shd w:val="clear" w:color="auto" w:fill="FFFFFF"/>
        </w:rPr>
      </w:pPr>
      <w:r w:rsidRPr="008043C9">
        <w:rPr>
          <w:shd w:val="clear" w:color="auto" w:fill="FFFFFF"/>
        </w:rPr>
        <w:t>Jain A, Sisodia S, Rana KS, Gupta C, Ansari I, Dholakia PP. The study of the prevalence and distribution of shape anomalies of teeth in Indian population on the basis of age and gender. Cureus 2022; 14(8): e28532. Doi: 10.7759/cureus.28532.</w:t>
      </w:r>
    </w:p>
    <w:p w14:paraId="6715393A" w14:textId="77777777" w:rsidR="008B002E" w:rsidRPr="008043C9" w:rsidRDefault="008B002E" w:rsidP="0012762E">
      <w:pPr>
        <w:pStyle w:val="DaftarPustaka"/>
        <w:rPr>
          <w:shd w:val="clear" w:color="auto" w:fill="FFFFFF"/>
        </w:rPr>
      </w:pPr>
      <w:r w:rsidRPr="008043C9">
        <w:rPr>
          <w:shd w:val="clear" w:color="auto" w:fill="FFFFFF"/>
        </w:rPr>
        <w:t>Narasimhan S, Shetty SR, Kamath V, Al-Daghestani HS, Gopinath VK. Prevalence of taurodontism in the United Arab Emirates: a retrospective study with a global comparison. Eur J Dent 2025. Doi:10.1055/s-0045-1811600.</w:t>
      </w:r>
    </w:p>
    <w:p w14:paraId="3441447B" w14:textId="77777777" w:rsidR="008B002E" w:rsidRPr="008043C9" w:rsidRDefault="008B002E" w:rsidP="0012762E">
      <w:pPr>
        <w:pStyle w:val="DaftarPustaka"/>
        <w:rPr>
          <w:shd w:val="clear" w:color="auto" w:fill="FFFFFF"/>
        </w:rPr>
      </w:pPr>
      <w:r w:rsidRPr="008043C9">
        <w:rPr>
          <w:shd w:val="clear" w:color="auto" w:fill="FFFFFF"/>
        </w:rPr>
        <w:t>Decaup PH, Couture C, Colin M, Garot E. Prevalence of taurodontism: meta-analysis in recent humans and evolutionary perspectives. Homo 2022; 73(1): 1-11. Doi:10.1127/homo/2021/1447.</w:t>
      </w:r>
    </w:p>
    <w:p w14:paraId="46ECF76D" w14:textId="77777777" w:rsidR="008B002E" w:rsidRPr="008043C9" w:rsidRDefault="008B002E" w:rsidP="0012762E">
      <w:pPr>
        <w:pStyle w:val="DaftarPustaka"/>
        <w:rPr>
          <w:shd w:val="clear" w:color="auto" w:fill="FFFFFF"/>
        </w:rPr>
      </w:pPr>
      <w:r w:rsidRPr="008043C9">
        <w:rPr>
          <w:shd w:val="clear" w:color="auto" w:fill="FFFFFF"/>
        </w:rPr>
        <w:t>Jabali AH, Chourasia HR, Wasli AS, Alkhayrat AM, Mahnashi HM, Kamly MJ, Varadarajan S, Patil S. Taurodontism in maxillary and mandibular molars using cone beam computed tomography in a dental center in Saudi Arabia. Ann Saudi Med. 2021; 41(4): 232-7. Doi:10.5144/0256-4947.2021.232.</w:t>
      </w:r>
    </w:p>
    <w:p w14:paraId="0BDCFB26" w14:textId="77777777" w:rsidR="008B002E" w:rsidRPr="008043C9" w:rsidRDefault="008B002E" w:rsidP="0012762E">
      <w:pPr>
        <w:pStyle w:val="DaftarPustaka"/>
        <w:rPr>
          <w:shd w:val="clear" w:color="auto" w:fill="FFFFFF"/>
        </w:rPr>
      </w:pPr>
      <w:r w:rsidRPr="008043C9">
        <w:rPr>
          <w:shd w:val="clear" w:color="auto" w:fill="FFFFFF"/>
        </w:rPr>
        <w:t>Chamani A, Azizi V, Karimpour S, et al. Endodontic management of taurodontic teeth: a case series. Clin Case Rep. 2024; 12(6): e9101. Doi:10.1002/ccr3.9101.</w:t>
      </w:r>
    </w:p>
    <w:p w14:paraId="379B9F85" w14:textId="77777777" w:rsidR="008B002E" w:rsidRPr="008043C9" w:rsidRDefault="008B002E" w:rsidP="0012762E">
      <w:pPr>
        <w:pStyle w:val="DaftarPustaka"/>
        <w:rPr>
          <w:shd w:val="clear" w:color="auto" w:fill="FFFFFF"/>
        </w:rPr>
      </w:pPr>
      <w:r w:rsidRPr="008043C9">
        <w:rPr>
          <w:shd w:val="clear" w:color="auto" w:fill="FFFFFF"/>
        </w:rPr>
        <w:t>Seow WK, Lai PY. Association of taurodontism with hypodontia: a controlled study. Pediatr Dent. 1989; 11(3): 214-9.</w:t>
      </w:r>
    </w:p>
    <w:p w14:paraId="68438C6D" w14:textId="77777777" w:rsidR="008B002E" w:rsidRPr="008043C9" w:rsidRDefault="008B002E" w:rsidP="0012762E">
      <w:pPr>
        <w:pStyle w:val="DaftarPustaka"/>
        <w:rPr>
          <w:shd w:val="clear" w:color="auto" w:fill="FFFFFF"/>
        </w:rPr>
      </w:pPr>
      <w:r w:rsidRPr="008043C9">
        <w:rPr>
          <w:shd w:val="clear" w:color="auto" w:fill="FFFFFF"/>
        </w:rPr>
        <w:t>Pach J, Regulski PA, Tomczyk J, Strużycka I. Clinical implications of a diagnosis of taurodontism: a literature review. Adv Clin Exp Med. 2022; 31(12): 1385-9. Doi:10.17219/acem/152120.</w:t>
      </w:r>
    </w:p>
    <w:p w14:paraId="026F2D02" w14:textId="77777777" w:rsidR="008B002E" w:rsidRPr="008043C9" w:rsidRDefault="008B002E" w:rsidP="0012762E">
      <w:pPr>
        <w:pStyle w:val="DaftarPustaka"/>
        <w:rPr>
          <w:shd w:val="clear" w:color="auto" w:fill="FFFFFF"/>
        </w:rPr>
      </w:pPr>
      <w:r w:rsidRPr="008043C9">
        <w:rPr>
          <w:shd w:val="clear" w:color="auto" w:fill="FFFFFF"/>
        </w:rPr>
        <w:t>Alanzi A, Bufersen N, Haider S, Abdulrahim M. Prevalence and distribution of dental anomalies in schoolchildren in Kuwait. Int Dent J. 2024; 74(3): 566-72. Doi: 10.1016/j.identj.2023.10.019.</w:t>
      </w:r>
    </w:p>
    <w:p w14:paraId="7E1E5F6B" w14:textId="77777777" w:rsidR="008B002E" w:rsidRPr="008043C9" w:rsidRDefault="008B002E" w:rsidP="0012762E">
      <w:pPr>
        <w:pStyle w:val="DaftarPustaka"/>
        <w:rPr>
          <w:shd w:val="clear" w:color="auto" w:fill="FFFFFF"/>
        </w:rPr>
      </w:pPr>
      <w:r w:rsidRPr="008043C9">
        <w:rPr>
          <w:shd w:val="clear" w:color="auto" w:fill="FFFFFF"/>
        </w:rPr>
        <w:t>Narasimhan S, Shetty SR, Kamath V, Al-Daghestani HS, Gopinath VK. Prevalence of taurodontism in the United Arab Emirates: a retrospective study with a global comparison. Eur J Dent. 2025. Doi:10.1055/s-0045-1811600.</w:t>
      </w:r>
    </w:p>
    <w:p w14:paraId="6E3F86D4" w14:textId="77777777" w:rsidR="008B002E" w:rsidRPr="008043C9" w:rsidRDefault="008B002E" w:rsidP="0012762E">
      <w:pPr>
        <w:pStyle w:val="DaftarPustaka"/>
        <w:rPr>
          <w:shd w:val="clear" w:color="auto" w:fill="FFFFFF"/>
        </w:rPr>
      </w:pPr>
      <w:r w:rsidRPr="008043C9">
        <w:rPr>
          <w:shd w:val="clear" w:color="auto" w:fill="FFFFFF"/>
        </w:rPr>
        <w:t>Einy S, Yitzhaki IH, Cohen O, Smidt A, Zilberman U. Taurodontism—prevalence, extent, and clinical challenge in Ashkelon, Israel: a retrospective study. Appl Sci (Basel) 2022; 12(3): 1062. Doi:10.3390/app12031062.</w:t>
      </w:r>
    </w:p>
    <w:p w14:paraId="162466A2" w14:textId="77777777" w:rsidR="008B002E" w:rsidRPr="008043C9" w:rsidRDefault="008B002E" w:rsidP="0012762E">
      <w:pPr>
        <w:pStyle w:val="DaftarPustaka"/>
        <w:rPr>
          <w:shd w:val="clear" w:color="auto" w:fill="FFFFFF"/>
        </w:rPr>
      </w:pPr>
      <w:r w:rsidRPr="008043C9">
        <w:rPr>
          <w:shd w:val="clear" w:color="auto" w:fill="FFFFFF"/>
        </w:rPr>
        <w:t>Li Y, Qian F, Wang D, Wang Y, Wang W, Tian Y. Prevalence of taurodontism in individuals in Northwest China determined by cone-beam computed tomography images. Heliyon 2023; 9(4): e15531. Doi:10.1016/j.heliyon.2023.e15531.</w:t>
      </w:r>
    </w:p>
    <w:p w14:paraId="0D8212D2" w14:textId="77777777" w:rsidR="008B002E" w:rsidRPr="008043C9" w:rsidRDefault="008B002E" w:rsidP="0012762E">
      <w:pPr>
        <w:pStyle w:val="DaftarPustaka"/>
        <w:rPr>
          <w:shd w:val="clear" w:color="auto" w:fill="FFFFFF"/>
        </w:rPr>
      </w:pPr>
      <w:r w:rsidRPr="008043C9">
        <w:rPr>
          <w:shd w:val="clear" w:color="auto" w:fill="FFFFFF"/>
        </w:rPr>
        <w:t>Kırmızı D, Aksoy U, Aksoy S, İnönü N, Orhan K. Evaluation of taurodont and pyramidal mandibular molars prevalence in a group of Turkish Cypriot population by cone beam computed tomography. Cyprus J Med Sci. 2025; 10(1): 8-11. Doi:10.4274/cjms.2024.2024-112.</w:t>
      </w:r>
    </w:p>
    <w:p w14:paraId="5218BE15" w14:textId="77777777" w:rsidR="008B002E" w:rsidRPr="008043C9" w:rsidRDefault="008B002E" w:rsidP="0012762E">
      <w:pPr>
        <w:pStyle w:val="DaftarPustaka"/>
        <w:rPr>
          <w:shd w:val="clear" w:color="auto" w:fill="FFFFFF"/>
        </w:rPr>
      </w:pPr>
      <w:r w:rsidRPr="008043C9">
        <w:rPr>
          <w:shd w:val="clear" w:color="auto" w:fill="FFFFFF"/>
        </w:rPr>
        <w:t>Mendes PA, Neiva IM, Brasileiro CB, Souza ACRA, Souza LN. Extending coronectomy indications to third molars with taurodontism to prevent paresthesia and mandible fracture. Case Rep Dent. 2018; 2018: 2067350. Doi:10.1155/2018/2067350.</w:t>
      </w:r>
    </w:p>
    <w:p w14:paraId="1A410386" w14:textId="77777777" w:rsidR="008B002E" w:rsidRPr="008043C9" w:rsidRDefault="008B002E" w:rsidP="0012762E">
      <w:pPr>
        <w:pStyle w:val="DaftarPustaka"/>
        <w:rPr>
          <w:shd w:val="clear" w:color="auto" w:fill="FFFFFF"/>
        </w:rPr>
      </w:pPr>
      <w:r w:rsidRPr="008043C9">
        <w:rPr>
          <w:shd w:val="clear" w:color="auto" w:fill="FFFFFF"/>
        </w:rPr>
        <w:t>Fons Romero JM, Star H, Lav R, Watkins S, Harrison M, Hovorakova M, Headon D, Tucker AS. The impact of the Eda pathway on tooth root development. J Dent Res. 2017; 96(11): 1290-7. Doi:10.1177/0022034517725692.</w:t>
      </w:r>
    </w:p>
    <w:p w14:paraId="4EFF708D" w14:textId="77777777" w:rsidR="009768E2" w:rsidRPr="008043C9" w:rsidRDefault="009768E2" w:rsidP="006A622D">
      <w:pPr>
        <w:rPr>
          <w:rFonts w:ascii="Cambria" w:eastAsia="Times New Roman" w:hAnsi="Cambria" w:cs="Times New Roman"/>
          <w:kern w:val="16"/>
          <w:sz w:val="20"/>
          <w:szCs w:val="20"/>
        </w:rPr>
      </w:pPr>
    </w:p>
    <w:p w14:paraId="2ECE4C24" w14:textId="77777777" w:rsidR="009768E2" w:rsidRPr="008043C9" w:rsidRDefault="009768E2" w:rsidP="006A622D">
      <w:pPr>
        <w:rPr>
          <w:rFonts w:ascii="Cambria" w:eastAsia="Times New Roman" w:hAnsi="Cambria" w:cs="Times New Roman"/>
          <w:kern w:val="16"/>
          <w:sz w:val="20"/>
          <w:szCs w:val="20"/>
        </w:rPr>
      </w:pPr>
    </w:p>
    <w:p w14:paraId="35CB3EEF" w14:textId="77777777" w:rsidR="009768E2" w:rsidRPr="008043C9" w:rsidRDefault="009768E2" w:rsidP="006A622D">
      <w:pPr>
        <w:rPr>
          <w:rFonts w:ascii="Cambria" w:eastAsia="Times New Roman" w:hAnsi="Cambria" w:cs="Times New Roman"/>
          <w:kern w:val="16"/>
          <w:sz w:val="20"/>
          <w:szCs w:val="20"/>
        </w:rPr>
        <w:sectPr w:rsidR="009768E2" w:rsidRPr="008043C9" w:rsidSect="00A02961">
          <w:type w:val="continuous"/>
          <w:pgSz w:w="11900" w:h="16840" w:code="9"/>
          <w:pgMar w:top="1418" w:right="1418" w:bottom="1418" w:left="1418" w:header="737" w:footer="737" w:gutter="0"/>
          <w:cols w:num="2" w:space="567"/>
          <w:titlePg/>
          <w:docGrid w:linePitch="360"/>
        </w:sectPr>
      </w:pPr>
    </w:p>
    <w:p w14:paraId="68885662" w14:textId="3DA89001" w:rsidR="00CA4F76" w:rsidRPr="008043C9" w:rsidRDefault="00CA4F76" w:rsidP="00DA29AB">
      <w:pPr>
        <w:rPr>
          <w:rFonts w:ascii="Cambria" w:hAnsi="Cambria"/>
          <w:kern w:val="16"/>
        </w:rPr>
      </w:pPr>
    </w:p>
    <w:sectPr w:rsidR="00CA4F76" w:rsidRPr="008043C9" w:rsidSect="00A02961">
      <w:type w:val="continuous"/>
      <w:pgSz w:w="11900" w:h="16840" w:code="9"/>
      <w:pgMar w:top="1418" w:right="1418" w:bottom="1418" w:left="1418" w:header="737" w:footer="737"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70595" w14:textId="77777777" w:rsidR="003D05E0" w:rsidRDefault="003D05E0">
      <w:r>
        <w:separator/>
      </w:r>
    </w:p>
  </w:endnote>
  <w:endnote w:type="continuationSeparator" w:id="0">
    <w:p w14:paraId="492AC563" w14:textId="77777777" w:rsidR="003D05E0" w:rsidRDefault="003D0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BBF94" w14:textId="1CDD49CF" w:rsidR="00086C91" w:rsidRPr="00BC526E" w:rsidRDefault="00086C91">
    <w:pPr>
      <w:rPr>
        <w:rFonts w:ascii="Calibri" w:hAnsi="Calibri" w:cs="Calibri"/>
        <w:color w:val="4472C4" w:themeColor="accent1"/>
        <w:sz w:val="18"/>
        <w:szCs w:val="18"/>
      </w:rPr>
    </w:pPr>
  </w:p>
  <w:p w14:paraId="58BCCF54" w14:textId="77777777" w:rsidR="00086C91" w:rsidRDefault="00086C91">
    <w:pPr>
      <w:rPr>
        <w:rFonts w:ascii="Calibri" w:hAnsi="Calibri" w:cs="Calibri"/>
        <w:color w:val="4472C4" w:themeColor="accent1"/>
        <w:sz w:val="18"/>
        <w:szCs w:val="18"/>
      </w:rPr>
    </w:pPr>
  </w:p>
  <w:p w14:paraId="77A08CDD" w14:textId="77777777" w:rsidR="008C1ED8" w:rsidRPr="00BC526E" w:rsidRDefault="008C1ED8">
    <w:pPr>
      <w:rPr>
        <w:rFonts w:ascii="Calibri" w:hAnsi="Calibri" w:cs="Calibri"/>
        <w:color w:val="4472C4" w:themeColor="accent1"/>
        <w:sz w:val="18"/>
        <w:szCs w:val="18"/>
      </w:rPr>
    </w:pPr>
  </w:p>
  <w:p w14:paraId="6CEE17F2" w14:textId="1DAD9F45" w:rsidR="000C1BFE" w:rsidRPr="00BC526E" w:rsidRDefault="00A41823" w:rsidP="00A41823">
    <w:pPr>
      <w:widowControl w:val="0"/>
      <w:tabs>
        <w:tab w:val="right" w:pos="9632"/>
      </w:tabs>
      <w:rPr>
        <w:rFonts w:ascii="Cambria" w:hAnsi="Cambria" w:cs="Calibri"/>
        <w:color w:val="4472C4" w:themeColor="accent1"/>
        <w:sz w:val="18"/>
        <w:szCs w:val="18"/>
      </w:rPr>
    </w:pPr>
    <w:r w:rsidRPr="00BC526E">
      <w:rPr>
        <w:rFonts w:ascii="Cambria" w:hAnsi="Cambria" w:cs="Calibri"/>
        <w:color w:val="4472C4" w:themeColor="accent1"/>
        <w:sz w:val="18"/>
        <w:szCs w:val="18"/>
      </w:rPr>
      <w:fldChar w:fldCharType="begin"/>
    </w:r>
    <w:r w:rsidRPr="00BC526E">
      <w:rPr>
        <w:rFonts w:ascii="Cambria" w:hAnsi="Cambria" w:cs="Calibri"/>
        <w:color w:val="4472C4" w:themeColor="accent1"/>
        <w:sz w:val="18"/>
        <w:szCs w:val="18"/>
      </w:rPr>
      <w:instrText>PAGE   \* MERGEFORMAT</w:instrText>
    </w:r>
    <w:r w:rsidRPr="00BC526E">
      <w:rPr>
        <w:rFonts w:ascii="Cambria" w:hAnsi="Cambria" w:cs="Calibri"/>
        <w:color w:val="4472C4" w:themeColor="accent1"/>
        <w:sz w:val="18"/>
        <w:szCs w:val="18"/>
      </w:rPr>
      <w:fldChar w:fldCharType="separate"/>
    </w:r>
    <w:r w:rsidRPr="00BC526E">
      <w:rPr>
        <w:rFonts w:ascii="Cambria" w:hAnsi="Cambria" w:cs="Calibri"/>
        <w:color w:val="4472C4" w:themeColor="accent1"/>
        <w:sz w:val="18"/>
        <w:szCs w:val="18"/>
      </w:rPr>
      <w:t>2</w:t>
    </w:r>
    <w:r w:rsidRPr="00BC526E">
      <w:rPr>
        <w:rFonts w:ascii="Cambria" w:hAnsi="Cambria" w:cs="Calibri"/>
        <w:color w:val="4472C4" w:themeColor="accent1"/>
        <w:sz w:val="18"/>
        <w:szCs w:val="18"/>
      </w:rPr>
      <w:fldChar w:fldCharType="end"/>
    </w:r>
    <w:r w:rsidRPr="00BC526E">
      <w:rPr>
        <w:rFonts w:ascii="Cambria" w:hAnsi="Cambria" w:cs="Calibri"/>
        <w:color w:val="4472C4" w:themeColor="accent1"/>
        <w:sz w:val="18"/>
        <w:szCs w:val="18"/>
      </w:rPr>
      <w:t xml:space="preserve"> </w:t>
    </w:r>
    <w:r w:rsidRPr="00BC526E">
      <w:rPr>
        <w:rFonts w:ascii="Cambria" w:hAnsi="Cambria" w:cs="Calibri"/>
        <w:color w:val="4472C4" w:themeColor="accent1"/>
        <w:sz w:val="18"/>
        <w:szCs w:val="18"/>
      </w:rPr>
      <w:tab/>
    </w:r>
    <w:r w:rsidR="00BC526E" w:rsidRPr="00BC526E">
      <w:rPr>
        <w:rFonts w:ascii="Cambria" w:hAnsi="Cambria" w:cs="Calibri"/>
        <w:color w:val="4472C4" w:themeColor="accent1"/>
        <w:sz w:val="18"/>
        <w:szCs w:val="18"/>
      </w:rPr>
      <w:t>Interdental Jurnal Kedokteran Gigi (IJKG), Volume 22, Issue 1, April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DBC2D" w14:textId="174C44D8" w:rsidR="00D550A8" w:rsidRDefault="00D550A8">
    <w:pPr>
      <w:rPr>
        <w:rFonts w:ascii="Calibri" w:hAnsi="Calibri" w:cs="Calibri"/>
        <w:sz w:val="18"/>
        <w:szCs w:val="18"/>
      </w:rPr>
    </w:pPr>
  </w:p>
  <w:p w14:paraId="447D8420" w14:textId="77777777" w:rsidR="00086C91" w:rsidRDefault="00086C91">
    <w:pPr>
      <w:rPr>
        <w:rFonts w:ascii="Calibri" w:hAnsi="Calibri" w:cs="Calibri"/>
        <w:sz w:val="18"/>
        <w:szCs w:val="18"/>
      </w:rPr>
    </w:pPr>
  </w:p>
  <w:p w14:paraId="44BD7E02" w14:textId="77777777" w:rsidR="009E2705" w:rsidRPr="000905F2" w:rsidRDefault="009E2705">
    <w:pPr>
      <w:rPr>
        <w:rFonts w:ascii="Calibri" w:hAnsi="Calibri" w:cs="Calibri"/>
        <w:sz w:val="18"/>
        <w:szCs w:val="18"/>
      </w:rPr>
    </w:pPr>
  </w:p>
  <w:p w14:paraId="642CA0D7" w14:textId="09F0BB1C" w:rsidR="00E76A03" w:rsidRPr="009F03C2" w:rsidRDefault="00BC526E" w:rsidP="009F03C2">
    <w:pPr>
      <w:pStyle w:val="Footer"/>
    </w:pPr>
    <w:r w:rsidRPr="00BC526E">
      <w:t>Interdental Jurnal Kedokteran Gigi (IJKG), Volume 22, Issue 1, April 2026</w:t>
    </w:r>
    <w:r w:rsidR="009E2705" w:rsidRPr="009F03C2">
      <w:tab/>
    </w:r>
    <w:r w:rsidR="009E2705" w:rsidRPr="009F03C2">
      <w:fldChar w:fldCharType="begin"/>
    </w:r>
    <w:r w:rsidR="009E2705" w:rsidRPr="009F03C2">
      <w:instrText>PAGE   \* MERGEFORMAT</w:instrText>
    </w:r>
    <w:r w:rsidR="009E2705" w:rsidRPr="009F03C2">
      <w:fldChar w:fldCharType="separate"/>
    </w:r>
    <w:r w:rsidR="009E2705" w:rsidRPr="009F03C2">
      <w:t>1</w:t>
    </w:r>
    <w:r w:rsidR="009E2705" w:rsidRPr="009F03C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4"/>
    </w:tblGrid>
    <w:tr w:rsidR="00E76A03" w14:paraId="758706BA" w14:textId="77777777" w:rsidTr="009E2705">
      <w:tc>
        <w:tcPr>
          <w:tcW w:w="5000" w:type="pct"/>
        </w:tcPr>
        <w:p w14:paraId="3904503D" w14:textId="3035C0FA" w:rsidR="00E76A03" w:rsidRPr="0086596E" w:rsidRDefault="00A333E0" w:rsidP="005D3C3C">
          <w:pPr>
            <w:pStyle w:val="Howtocite"/>
            <w:spacing w:before="60" w:after="60"/>
            <w:ind w:left="-113" w:right="-113"/>
            <w:rPr>
              <w:rFonts w:ascii="Cambria" w:hAnsi="Cambria" w:cs="Calibri"/>
              <w:sz w:val="22"/>
              <w:szCs w:val="22"/>
              <w:lang w:val="en-ID" w:eastAsia="zh-CN"/>
            </w:rPr>
          </w:pPr>
          <w:r w:rsidRPr="00795F62">
            <w:rPr>
              <w:rFonts w:ascii="Cambria" w:hAnsi="Cambria" w:cs="Calibri"/>
              <w:b/>
              <w:bCs/>
              <w:color w:val="4472C4" w:themeColor="accent1"/>
            </w:rPr>
            <w:t>How to cite this article:</w:t>
          </w:r>
          <w:r w:rsidRPr="00795F62">
            <w:rPr>
              <w:rFonts w:ascii="Cambria" w:hAnsi="Cambria" w:cs="Calibri"/>
              <w:color w:val="4472C4" w:themeColor="accent1"/>
            </w:rPr>
            <w:t xml:space="preserve"> </w:t>
          </w:r>
          <w:r w:rsidR="00E442E2" w:rsidRPr="00E442E2">
            <w:rPr>
              <w:rFonts w:ascii="Cambria" w:hAnsi="Cambria" w:cs="Calibri"/>
            </w:rPr>
            <w:t>Yasa IPGA, Sulistiawati IDAN, Nasutianto H, Astuti NKA, Martini AAK, Feranasari AAIA, et al. Prevalence of Taurodontism Based on Panoramic Radiography at Saraswati Dental Hospital.</w:t>
          </w:r>
          <w:r w:rsidR="001321DD" w:rsidRPr="001321DD">
            <w:rPr>
              <w:rFonts w:ascii="Cambria" w:hAnsi="Cambria" w:cs="Calibri"/>
            </w:rPr>
            <w:t xml:space="preserve"> Interdental Jurnal Kedokteran Gigi. 2022;22(1):</w:t>
          </w:r>
          <w:r w:rsidR="000420B6">
            <w:rPr>
              <w:rFonts w:ascii="Cambria" w:hAnsi="Cambria" w:cs="Calibri"/>
            </w:rPr>
            <w:t>77-82</w:t>
          </w:r>
          <w:r w:rsidR="001321DD" w:rsidRPr="001321DD">
            <w:rPr>
              <w:rFonts w:ascii="Cambria" w:hAnsi="Cambria" w:cs="Calibri"/>
            </w:rPr>
            <w:t>. doi:</w:t>
          </w:r>
          <w:r w:rsidR="00D9081B">
            <w:t xml:space="preserve"> </w:t>
          </w:r>
          <w:r w:rsidR="001F39B6" w:rsidRPr="001F39B6">
            <w:rPr>
              <w:rFonts w:ascii="Cambria" w:hAnsi="Cambria" w:cs="Calibri"/>
            </w:rPr>
            <w:t>10.46862/interdental.v22i1.12993</w:t>
          </w:r>
        </w:p>
      </w:tc>
    </w:tr>
    <w:tr w:rsidR="00E76A03" w14:paraId="7B866B8D" w14:textId="77777777" w:rsidTr="009E2705">
      <w:trPr>
        <w:trHeight w:val="91"/>
      </w:trPr>
      <w:tc>
        <w:tcPr>
          <w:tcW w:w="5000" w:type="pct"/>
        </w:tcPr>
        <w:p w14:paraId="581A1437" w14:textId="2F7B574B" w:rsidR="003258C1" w:rsidRPr="00A04405" w:rsidRDefault="00A333E0" w:rsidP="005D3C3C">
          <w:pPr>
            <w:spacing w:before="60" w:after="60"/>
            <w:ind w:left="-113" w:right="-113"/>
            <w:jc w:val="both"/>
            <w:rPr>
              <w:rFonts w:ascii="Cambria" w:hAnsi="Cambria"/>
              <w:sz w:val="16"/>
              <w:szCs w:val="16"/>
            </w:rPr>
          </w:pPr>
          <w:r w:rsidRPr="0086596E">
            <w:rPr>
              <w:rFonts w:ascii="Cambria" w:hAnsi="Cambria"/>
              <w:sz w:val="16"/>
              <w:szCs w:val="16"/>
              <w:lang w:val="en-ID"/>
            </w:rPr>
            <w:t>Copyright: ©202</w:t>
          </w:r>
          <w:r w:rsidR="0086596E">
            <w:rPr>
              <w:rFonts w:ascii="Cambria" w:hAnsi="Cambria"/>
              <w:sz w:val="16"/>
              <w:szCs w:val="16"/>
              <w:lang w:val="en-ID"/>
            </w:rPr>
            <w:t>6</w:t>
          </w:r>
          <w:r w:rsidRPr="0086596E">
            <w:rPr>
              <w:rFonts w:ascii="Cambria" w:hAnsi="Cambria"/>
              <w:sz w:val="16"/>
              <w:szCs w:val="16"/>
              <w:lang w:val="en-ID"/>
            </w:rPr>
            <w:t xml:space="preserve"> </w:t>
          </w:r>
          <w:r w:rsidR="001F39B6" w:rsidRPr="001F39B6">
            <w:rPr>
              <w:rFonts w:ascii="Cambria" w:hAnsi="Cambria"/>
              <w:b/>
              <w:bCs/>
              <w:color w:val="4472C4" w:themeColor="accent1"/>
              <w:sz w:val="16"/>
              <w:szCs w:val="16"/>
              <w:lang w:val="id-ID"/>
            </w:rPr>
            <w:t>I Putu Gede Andyka Yasa</w:t>
          </w:r>
          <w:r w:rsidR="001F39B6" w:rsidRPr="001F39B6">
            <w:rPr>
              <w:rFonts w:ascii="Cambria" w:hAnsi="Cambria"/>
              <w:b/>
              <w:bCs/>
              <w:color w:val="4472C4" w:themeColor="accent1"/>
              <w:sz w:val="16"/>
              <w:szCs w:val="16"/>
              <w:lang w:val="id-ID"/>
            </w:rPr>
            <w:t xml:space="preserve"> </w:t>
          </w:r>
          <w:r w:rsidRPr="0086596E">
            <w:rPr>
              <w:rFonts w:ascii="Cambria" w:hAnsi="Cambria"/>
              <w:sz w:val="16"/>
              <w:szCs w:val="16"/>
            </w:rPr>
            <w:t>This is an open access article distributed under the terms of the Creative Commons Attribution-ShareAlike 4.0 International License. Authors hold the copyright without restrictions and retain publishing rights without restrictions.</w:t>
          </w:r>
        </w:p>
      </w:tc>
    </w:tr>
  </w:tbl>
  <w:p w14:paraId="6ED8FDCD" w14:textId="77777777" w:rsidR="00E76A03" w:rsidRDefault="00E76A03">
    <w:pPr>
      <w:tabs>
        <w:tab w:val="left" w:pos="4215"/>
      </w:tabs>
      <w:rPr>
        <w:sz w:val="2"/>
        <w:szCs w:val="2"/>
      </w:rPr>
    </w:pPr>
  </w:p>
  <w:p w14:paraId="07113FA8" w14:textId="77777777" w:rsidR="001B3CB3" w:rsidRDefault="001B3CB3" w:rsidP="00086C91">
    <w:pPr>
      <w:pStyle w:val="Footer"/>
      <w:tabs>
        <w:tab w:val="clear" w:pos="4513"/>
        <w:tab w:val="clear" w:pos="9026"/>
        <w:tab w:val="right" w:pos="9632"/>
      </w:tabs>
      <w:rPr>
        <w:rFonts w:cs="Calibri"/>
        <w:szCs w:val="18"/>
      </w:rPr>
    </w:pPr>
  </w:p>
  <w:p w14:paraId="0B4C150E" w14:textId="77777777" w:rsidR="00ED357A" w:rsidRPr="0068796B" w:rsidRDefault="00ED357A" w:rsidP="00086C91">
    <w:pPr>
      <w:pStyle w:val="Footer"/>
      <w:tabs>
        <w:tab w:val="clear" w:pos="4513"/>
        <w:tab w:val="clear" w:pos="9026"/>
        <w:tab w:val="right" w:pos="9632"/>
      </w:tabs>
      <w:rPr>
        <w:rFonts w:cs="Calibri"/>
        <w:szCs w:val="18"/>
      </w:rPr>
    </w:pPr>
  </w:p>
  <w:p w14:paraId="71127ACF" w14:textId="471E0CC9" w:rsidR="00E76A03" w:rsidRPr="0068796B" w:rsidRDefault="00BC526E" w:rsidP="009E2705">
    <w:pPr>
      <w:pStyle w:val="Footer"/>
      <w:tabs>
        <w:tab w:val="clear" w:pos="4513"/>
        <w:tab w:val="clear" w:pos="9026"/>
        <w:tab w:val="right" w:pos="9632"/>
      </w:tabs>
      <w:jc w:val="right"/>
      <w:rPr>
        <w:rFonts w:ascii="Calibri" w:hAnsi="Calibri" w:cs="Calibri"/>
        <w:szCs w:val="18"/>
      </w:rPr>
    </w:pPr>
    <w:r w:rsidRPr="00BC526E">
      <w:rPr>
        <w:rFonts w:cs="Calibri"/>
        <w:szCs w:val="18"/>
      </w:rPr>
      <w:t>Interdental Jurnal Kedokteran Gigi (IJKG), Volume 22, Issue 1, April 2026</w:t>
    </w:r>
    <w:r w:rsidR="009E2705" w:rsidRPr="0068796B">
      <w:rPr>
        <w:rFonts w:cs="Calibri"/>
        <w:szCs w:val="18"/>
      </w:rPr>
      <w:tab/>
    </w:r>
    <w:r w:rsidR="009E2705" w:rsidRPr="0068796B">
      <w:rPr>
        <w:rFonts w:cs="Calibri"/>
        <w:szCs w:val="18"/>
      </w:rPr>
      <w:fldChar w:fldCharType="begin"/>
    </w:r>
    <w:r w:rsidR="009E2705" w:rsidRPr="0068796B">
      <w:rPr>
        <w:rFonts w:cs="Calibri"/>
        <w:szCs w:val="18"/>
      </w:rPr>
      <w:instrText>PAGE   \* MERGEFORMAT</w:instrText>
    </w:r>
    <w:r w:rsidR="009E2705" w:rsidRPr="0068796B">
      <w:rPr>
        <w:rFonts w:cs="Calibri"/>
        <w:szCs w:val="18"/>
      </w:rPr>
      <w:fldChar w:fldCharType="separate"/>
    </w:r>
    <w:r w:rsidR="009E2705" w:rsidRPr="0068796B">
      <w:rPr>
        <w:rFonts w:cs="Calibri"/>
        <w:szCs w:val="18"/>
      </w:rPr>
      <w:t>3</w:t>
    </w:r>
    <w:r w:rsidR="009E2705" w:rsidRPr="0068796B">
      <w:rPr>
        <w:rFonts w:cs="Calibri"/>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BB520" w14:textId="77777777" w:rsidR="008C1ED8" w:rsidRPr="0068796B" w:rsidRDefault="008C1ED8" w:rsidP="00A41823">
    <w:pPr>
      <w:widowControl w:val="0"/>
      <w:tabs>
        <w:tab w:val="right" w:pos="9632"/>
      </w:tabs>
      <w:rPr>
        <w:rFonts w:ascii="Cambria" w:hAnsi="Cambria" w:cs="Calibri"/>
        <w:color w:val="4472C4" w:themeColor="accent1"/>
        <w:sz w:val="18"/>
        <w:szCs w:val="18"/>
      </w:rPr>
    </w:pPr>
  </w:p>
  <w:p w14:paraId="35F8CA19" w14:textId="77777777" w:rsidR="00A41823" w:rsidRPr="0068796B" w:rsidRDefault="00A41823" w:rsidP="00A41823">
    <w:pPr>
      <w:widowControl w:val="0"/>
      <w:tabs>
        <w:tab w:val="right" w:pos="9632"/>
      </w:tabs>
      <w:rPr>
        <w:rFonts w:ascii="Cambria" w:hAnsi="Cambria" w:cs="Calibri"/>
        <w:color w:val="4472C4" w:themeColor="accent1"/>
        <w:sz w:val="18"/>
        <w:szCs w:val="18"/>
      </w:rPr>
    </w:pPr>
  </w:p>
  <w:p w14:paraId="6300EF8C" w14:textId="77777777" w:rsidR="00086C91" w:rsidRPr="0068796B" w:rsidRDefault="00086C91" w:rsidP="00A41823">
    <w:pPr>
      <w:widowControl w:val="0"/>
      <w:tabs>
        <w:tab w:val="right" w:pos="9632"/>
      </w:tabs>
      <w:rPr>
        <w:rFonts w:ascii="Cambria" w:hAnsi="Cambria" w:cs="Calibri"/>
        <w:color w:val="4472C4" w:themeColor="accent1"/>
        <w:sz w:val="18"/>
        <w:szCs w:val="18"/>
      </w:rPr>
    </w:pPr>
  </w:p>
  <w:p w14:paraId="2FEAD5E2" w14:textId="36A11A3B" w:rsidR="00A41823" w:rsidRPr="0068796B" w:rsidRDefault="00951939" w:rsidP="00A41823">
    <w:pPr>
      <w:widowControl w:val="0"/>
      <w:tabs>
        <w:tab w:val="right" w:pos="9632"/>
      </w:tabs>
      <w:rPr>
        <w:rFonts w:ascii="Cambria" w:hAnsi="Cambria" w:cs="Calibri"/>
        <w:color w:val="4472C4" w:themeColor="accent1"/>
        <w:sz w:val="18"/>
        <w:szCs w:val="18"/>
      </w:rPr>
    </w:pPr>
    <w:r w:rsidRPr="0068796B">
      <w:rPr>
        <w:rFonts w:ascii="Cambria" w:hAnsi="Cambria" w:cs="Calibri"/>
        <w:color w:val="4472C4" w:themeColor="accent1"/>
        <w:sz w:val="18"/>
        <w:szCs w:val="18"/>
      </w:rPr>
      <w:fldChar w:fldCharType="begin"/>
    </w:r>
    <w:r w:rsidRPr="0068796B">
      <w:rPr>
        <w:rFonts w:ascii="Cambria" w:hAnsi="Cambria" w:cs="Calibri"/>
        <w:color w:val="4472C4" w:themeColor="accent1"/>
        <w:sz w:val="18"/>
        <w:szCs w:val="18"/>
      </w:rPr>
      <w:instrText>PAGE   \* MERGEFORMAT</w:instrText>
    </w:r>
    <w:r w:rsidRPr="0068796B">
      <w:rPr>
        <w:rFonts w:ascii="Cambria" w:hAnsi="Cambria" w:cs="Calibri"/>
        <w:color w:val="4472C4" w:themeColor="accent1"/>
        <w:sz w:val="18"/>
        <w:szCs w:val="18"/>
      </w:rPr>
      <w:fldChar w:fldCharType="separate"/>
    </w:r>
    <w:r w:rsidRPr="0068796B">
      <w:rPr>
        <w:rFonts w:ascii="Cambria" w:hAnsi="Cambria" w:cs="Calibri"/>
        <w:color w:val="4472C4" w:themeColor="accent1"/>
        <w:sz w:val="18"/>
        <w:szCs w:val="18"/>
        <w:lang w:val="en-GB"/>
      </w:rPr>
      <w:t>1</w:t>
    </w:r>
    <w:r w:rsidRPr="0068796B">
      <w:rPr>
        <w:rFonts w:ascii="Cambria" w:hAnsi="Cambria" w:cs="Calibri"/>
        <w:color w:val="4472C4" w:themeColor="accent1"/>
        <w:sz w:val="18"/>
        <w:szCs w:val="18"/>
      </w:rPr>
      <w:fldChar w:fldCharType="end"/>
    </w:r>
    <w:r w:rsidRPr="0068796B">
      <w:rPr>
        <w:rFonts w:ascii="Cambria" w:hAnsi="Cambria" w:cs="Calibri"/>
        <w:color w:val="4472C4" w:themeColor="accent1"/>
        <w:sz w:val="18"/>
        <w:szCs w:val="18"/>
      </w:rPr>
      <w:t xml:space="preserve"> </w:t>
    </w:r>
    <w:r w:rsidRPr="0068796B">
      <w:rPr>
        <w:rFonts w:ascii="Cambria" w:hAnsi="Cambria" w:cs="Calibri"/>
        <w:color w:val="4472C4" w:themeColor="accent1"/>
        <w:sz w:val="18"/>
        <w:szCs w:val="18"/>
      </w:rPr>
      <w:tab/>
    </w:r>
    <w:r w:rsidR="00BC526E" w:rsidRPr="00BC526E">
      <w:rPr>
        <w:rFonts w:ascii="Cambria" w:hAnsi="Cambria" w:cs="Calibri"/>
        <w:color w:val="4472C4" w:themeColor="accent1"/>
        <w:sz w:val="18"/>
        <w:szCs w:val="18"/>
      </w:rPr>
      <w:t>Interdental Jurnal Kedokteran Gigi (IJKG), Volume 22, Issue 1,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562DE" w14:textId="77777777" w:rsidR="003D05E0" w:rsidRDefault="003D05E0">
      <w:r>
        <w:separator/>
      </w:r>
    </w:p>
  </w:footnote>
  <w:footnote w:type="continuationSeparator" w:id="0">
    <w:p w14:paraId="50871735" w14:textId="77777777" w:rsidR="003D05E0" w:rsidRDefault="003D0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42FF3" w14:textId="16F5D622" w:rsidR="00A41823" w:rsidRDefault="00E442E2" w:rsidP="008C1ED8">
    <w:pPr>
      <w:pStyle w:val="Header"/>
      <w:tabs>
        <w:tab w:val="left" w:pos="3380"/>
      </w:tabs>
      <w:spacing w:after="0"/>
      <w:jc w:val="right"/>
      <w:rPr>
        <w:i/>
        <w:iCs/>
        <w:color w:val="4472C4" w:themeColor="accent1"/>
        <w:sz w:val="16"/>
        <w:szCs w:val="16"/>
        <w:lang w:val="sv-SE"/>
      </w:rPr>
    </w:pPr>
    <w:r w:rsidRPr="00E442E2">
      <w:rPr>
        <w:i/>
        <w:iCs/>
        <w:color w:val="4472C4" w:themeColor="accent1"/>
        <w:sz w:val="16"/>
        <w:szCs w:val="16"/>
        <w:lang w:val="sv-SE"/>
      </w:rPr>
      <w:t>Yasa IPGA, Sulistiawati IDAN, Nasutianto H, Astuti NKA, Martini AAK, Feranasari AAIA, et al</w:t>
    </w:r>
  </w:p>
  <w:p w14:paraId="46CAFB8B" w14:textId="77777777" w:rsidR="00E442E2" w:rsidRPr="006033E2" w:rsidRDefault="00E442E2" w:rsidP="008C1ED8">
    <w:pPr>
      <w:pStyle w:val="Header"/>
      <w:tabs>
        <w:tab w:val="left" w:pos="3380"/>
      </w:tabs>
      <w:spacing w:after="0"/>
      <w:jc w:val="right"/>
      <w:rPr>
        <w:sz w:val="16"/>
        <w:szCs w:val="16"/>
        <w:lang w:val="sv-SE"/>
      </w:rPr>
    </w:pPr>
  </w:p>
  <w:p w14:paraId="7A0C7849" w14:textId="77777777" w:rsidR="00D550A8" w:rsidRPr="006033E2" w:rsidRDefault="00D550A8" w:rsidP="008C1ED8">
    <w:pPr>
      <w:pStyle w:val="Header"/>
      <w:tabs>
        <w:tab w:val="left" w:pos="3380"/>
      </w:tabs>
      <w:spacing w:after="0"/>
      <w:jc w:val="left"/>
      <w:rPr>
        <w:sz w:val="16"/>
        <w:szCs w:val="16"/>
        <w:lang w:val="sv-SE"/>
      </w:rPr>
    </w:pPr>
  </w:p>
  <w:p w14:paraId="3F17888E" w14:textId="77777777" w:rsidR="00086C91" w:rsidRPr="006033E2" w:rsidRDefault="00086C91" w:rsidP="008C1ED8">
    <w:pPr>
      <w:pStyle w:val="Header"/>
      <w:tabs>
        <w:tab w:val="left" w:pos="3380"/>
      </w:tabs>
      <w:spacing w:after="0"/>
      <w:jc w:val="left"/>
      <w:rPr>
        <w:sz w:val="16"/>
        <w:szCs w:val="16"/>
        <w:lang w:val="sv-SE"/>
      </w:rPr>
    </w:pPr>
  </w:p>
  <w:p w14:paraId="485B12E4" w14:textId="77777777" w:rsidR="008C1ED8" w:rsidRPr="006033E2" w:rsidRDefault="008C1ED8" w:rsidP="008C1ED8">
    <w:pPr>
      <w:pStyle w:val="Header"/>
      <w:tabs>
        <w:tab w:val="left" w:pos="3380"/>
      </w:tabs>
      <w:spacing w:after="0"/>
      <w:jc w:val="left"/>
      <w:rPr>
        <w:sz w:val="16"/>
        <w:szCs w:val="16"/>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4EB4" w14:textId="489A2DD4" w:rsidR="00D700CD" w:rsidRDefault="00E442E2" w:rsidP="009E2705">
    <w:pPr>
      <w:pStyle w:val="Header"/>
      <w:tabs>
        <w:tab w:val="left" w:pos="3380"/>
      </w:tabs>
      <w:spacing w:after="0"/>
      <w:jc w:val="left"/>
      <w:rPr>
        <w:i/>
        <w:iCs/>
        <w:color w:val="4472C4" w:themeColor="accent1"/>
        <w:sz w:val="16"/>
        <w:szCs w:val="16"/>
        <w:lang w:val="sv-SE"/>
      </w:rPr>
    </w:pPr>
    <w:r w:rsidRPr="00E442E2">
      <w:rPr>
        <w:i/>
        <w:iCs/>
        <w:color w:val="4472C4" w:themeColor="accent1"/>
        <w:sz w:val="16"/>
        <w:szCs w:val="16"/>
        <w:lang w:val="sv-SE"/>
      </w:rPr>
      <w:t>Yasa IPGA, Sulistiawati IDAN, Nasutianto H, Astuti NKA, Martini AAK, Feranasari AAIA, et al</w:t>
    </w:r>
  </w:p>
  <w:p w14:paraId="4C7ECC49" w14:textId="77777777" w:rsidR="00E442E2" w:rsidRPr="006033E2" w:rsidRDefault="00E442E2" w:rsidP="009E2705">
    <w:pPr>
      <w:pStyle w:val="Header"/>
      <w:tabs>
        <w:tab w:val="left" w:pos="3380"/>
      </w:tabs>
      <w:spacing w:after="0"/>
      <w:jc w:val="left"/>
      <w:rPr>
        <w:sz w:val="16"/>
        <w:szCs w:val="16"/>
        <w:lang w:val="sv-SE"/>
      </w:rPr>
    </w:pPr>
  </w:p>
  <w:p w14:paraId="6AF43F0A" w14:textId="77777777" w:rsidR="00086C91" w:rsidRPr="006033E2" w:rsidRDefault="00086C91" w:rsidP="009E2705">
    <w:pPr>
      <w:pStyle w:val="Header"/>
      <w:tabs>
        <w:tab w:val="left" w:pos="3380"/>
      </w:tabs>
      <w:spacing w:after="0"/>
      <w:jc w:val="left"/>
      <w:rPr>
        <w:sz w:val="16"/>
        <w:szCs w:val="16"/>
        <w:lang w:val="sv-SE"/>
      </w:rPr>
    </w:pPr>
  </w:p>
  <w:p w14:paraId="44C578AD" w14:textId="77777777" w:rsidR="00D550A8" w:rsidRPr="006033E2" w:rsidRDefault="00D550A8" w:rsidP="009E2705">
    <w:pPr>
      <w:pStyle w:val="Header"/>
      <w:tabs>
        <w:tab w:val="left" w:pos="3380"/>
      </w:tabs>
      <w:spacing w:after="0"/>
      <w:jc w:val="left"/>
      <w:rPr>
        <w:sz w:val="16"/>
        <w:szCs w:val="16"/>
        <w:lang w:val="sv-SE"/>
      </w:rPr>
    </w:pPr>
  </w:p>
  <w:p w14:paraId="1D96177B" w14:textId="77777777" w:rsidR="008C1ED8" w:rsidRPr="006033E2" w:rsidRDefault="008C1ED8" w:rsidP="009E2705">
    <w:pPr>
      <w:pStyle w:val="Header"/>
      <w:tabs>
        <w:tab w:val="left" w:pos="3380"/>
      </w:tabs>
      <w:spacing w:after="0"/>
      <w:jc w:val="left"/>
      <w:rPr>
        <w:sz w:val="16"/>
        <w:szCs w:val="16"/>
        <w:lang w:val="sv-S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BD47" w14:textId="5A64D7CD" w:rsidR="00C02CED" w:rsidRDefault="00F609FC" w:rsidP="007A3727">
    <w:pPr>
      <w:pStyle w:val="Header"/>
    </w:pPr>
    <w:r w:rsidRPr="00C15877">
      <w:rPr>
        <w:noProof/>
      </w:rPr>
      <w:drawing>
        <wp:inline distT="0" distB="0" distL="0" distR="0" wp14:anchorId="0903368A" wp14:editId="5231945E">
          <wp:extent cx="5796000" cy="780869"/>
          <wp:effectExtent l="0" t="0" r="0" b="635"/>
          <wp:docPr id="151062984"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501157" name=""/>
                  <pic:cNvPicPr/>
                </pic:nvPicPr>
                <pic:blipFill rotWithShape="1">
                  <a:blip r:embed="rId1">
                    <a:extLst>
                      <a:ext uri="{28A0092B-C50C-407E-A947-70E740481C1C}">
                        <a14:useLocalDpi xmlns:a14="http://schemas.microsoft.com/office/drawing/2010/main" val="0"/>
                      </a:ext>
                    </a:extLst>
                  </a:blip>
                  <a:srcRect l="728" t="25743" r="748"/>
                  <a:stretch>
                    <a:fillRect/>
                  </a:stretch>
                </pic:blipFill>
                <pic:spPr bwMode="auto">
                  <a:xfrm>
                    <a:off x="0" y="0"/>
                    <a:ext cx="5796000" cy="78086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DA93C" w14:textId="007F341B" w:rsidR="001B3CB3" w:rsidRDefault="00240867" w:rsidP="00240867">
    <w:pPr>
      <w:pStyle w:val="Header"/>
      <w:tabs>
        <w:tab w:val="left" w:pos="3380"/>
      </w:tabs>
      <w:spacing w:after="0"/>
      <w:jc w:val="right"/>
      <w:rPr>
        <w:i/>
        <w:iCs/>
        <w:color w:val="4472C4" w:themeColor="accent1"/>
        <w:sz w:val="16"/>
        <w:szCs w:val="16"/>
        <w:lang w:val="sv-SE"/>
      </w:rPr>
    </w:pPr>
    <w:r w:rsidRPr="00240867">
      <w:rPr>
        <w:i/>
        <w:iCs/>
        <w:color w:val="4472C4" w:themeColor="accent1"/>
        <w:sz w:val="16"/>
        <w:szCs w:val="16"/>
        <w:lang w:val="sv-SE"/>
      </w:rPr>
      <w:t>Yasa IPGA, Sulistiawati IDAN, Nasutianto H, Astuti NKA, Martini AAK, Feranasari AAIA, et al</w:t>
    </w:r>
  </w:p>
  <w:p w14:paraId="44C58437" w14:textId="77777777" w:rsidR="00820B93" w:rsidRPr="006033E2" w:rsidRDefault="00820B93" w:rsidP="00240867">
    <w:pPr>
      <w:pStyle w:val="Header"/>
      <w:tabs>
        <w:tab w:val="left" w:pos="3380"/>
      </w:tabs>
      <w:spacing w:after="0"/>
      <w:jc w:val="right"/>
      <w:rPr>
        <w:sz w:val="16"/>
        <w:szCs w:val="16"/>
        <w:lang w:val="sv-SE"/>
      </w:rPr>
    </w:pPr>
  </w:p>
  <w:p w14:paraId="4279114D" w14:textId="77777777" w:rsidR="001B3CB3" w:rsidRPr="006033E2" w:rsidRDefault="001B3CB3" w:rsidP="001B3CB3">
    <w:pPr>
      <w:pStyle w:val="Header"/>
      <w:tabs>
        <w:tab w:val="left" w:pos="3380"/>
      </w:tabs>
      <w:spacing w:after="0"/>
      <w:jc w:val="left"/>
      <w:rPr>
        <w:sz w:val="16"/>
        <w:szCs w:val="16"/>
        <w:lang w:val="sv-SE"/>
      </w:rPr>
    </w:pPr>
  </w:p>
  <w:p w14:paraId="6B834854" w14:textId="77777777" w:rsidR="00086C91" w:rsidRPr="006033E2" w:rsidRDefault="00086C91" w:rsidP="001B3CB3">
    <w:pPr>
      <w:pStyle w:val="Header"/>
      <w:tabs>
        <w:tab w:val="left" w:pos="3380"/>
      </w:tabs>
      <w:spacing w:after="0"/>
      <w:jc w:val="left"/>
      <w:rPr>
        <w:sz w:val="16"/>
        <w:szCs w:val="16"/>
        <w:lang w:val="sv-SE"/>
      </w:rPr>
    </w:pPr>
  </w:p>
  <w:p w14:paraId="379A7A71" w14:textId="77777777" w:rsidR="00F11E56" w:rsidRPr="006033E2" w:rsidRDefault="00F11E56" w:rsidP="00086C91">
    <w:pPr>
      <w:pStyle w:val="Header"/>
      <w:tabs>
        <w:tab w:val="left" w:pos="3380"/>
      </w:tabs>
      <w:spacing w:after="0"/>
      <w:jc w:val="left"/>
      <w:rPr>
        <w:sz w:val="16"/>
        <w:szCs w:val="16"/>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9499E"/>
    <w:multiLevelType w:val="hybridMultilevel"/>
    <w:tmpl w:val="B63835D0"/>
    <w:lvl w:ilvl="0" w:tplc="CEAA085E">
      <w:start w:val="1"/>
      <w:numFmt w:val="decimal"/>
      <w:pStyle w:val="DaftarPustaka"/>
      <w:lvlText w:val="%1."/>
      <w:lvlJc w:val="left"/>
      <w:pPr>
        <w:ind w:left="4896" w:hanging="360"/>
      </w:pPr>
      <w:rPr>
        <w:b w:val="0"/>
        <w:bCs w:val="0"/>
      </w:rPr>
    </w:lvl>
    <w:lvl w:ilvl="1" w:tplc="04210019" w:tentative="1">
      <w:start w:val="1"/>
      <w:numFmt w:val="lowerLetter"/>
      <w:lvlText w:val="%2."/>
      <w:lvlJc w:val="left"/>
      <w:pPr>
        <w:ind w:left="5579" w:hanging="360"/>
      </w:pPr>
    </w:lvl>
    <w:lvl w:ilvl="2" w:tplc="0421001B" w:tentative="1">
      <w:start w:val="1"/>
      <w:numFmt w:val="lowerRoman"/>
      <w:lvlText w:val="%3."/>
      <w:lvlJc w:val="right"/>
      <w:pPr>
        <w:ind w:left="6299" w:hanging="180"/>
      </w:pPr>
    </w:lvl>
    <w:lvl w:ilvl="3" w:tplc="0421000F" w:tentative="1">
      <w:start w:val="1"/>
      <w:numFmt w:val="decimal"/>
      <w:lvlText w:val="%4."/>
      <w:lvlJc w:val="left"/>
      <w:pPr>
        <w:ind w:left="7019" w:hanging="360"/>
      </w:pPr>
    </w:lvl>
    <w:lvl w:ilvl="4" w:tplc="04210019" w:tentative="1">
      <w:start w:val="1"/>
      <w:numFmt w:val="lowerLetter"/>
      <w:lvlText w:val="%5."/>
      <w:lvlJc w:val="left"/>
      <w:pPr>
        <w:ind w:left="7739" w:hanging="360"/>
      </w:pPr>
    </w:lvl>
    <w:lvl w:ilvl="5" w:tplc="0421001B" w:tentative="1">
      <w:start w:val="1"/>
      <w:numFmt w:val="lowerRoman"/>
      <w:lvlText w:val="%6."/>
      <w:lvlJc w:val="right"/>
      <w:pPr>
        <w:ind w:left="8459" w:hanging="180"/>
      </w:pPr>
    </w:lvl>
    <w:lvl w:ilvl="6" w:tplc="0421000F" w:tentative="1">
      <w:start w:val="1"/>
      <w:numFmt w:val="decimal"/>
      <w:lvlText w:val="%7."/>
      <w:lvlJc w:val="left"/>
      <w:pPr>
        <w:ind w:left="9179" w:hanging="360"/>
      </w:pPr>
    </w:lvl>
    <w:lvl w:ilvl="7" w:tplc="04210019" w:tentative="1">
      <w:start w:val="1"/>
      <w:numFmt w:val="lowerLetter"/>
      <w:lvlText w:val="%8."/>
      <w:lvlJc w:val="left"/>
      <w:pPr>
        <w:ind w:left="9899" w:hanging="360"/>
      </w:pPr>
    </w:lvl>
    <w:lvl w:ilvl="8" w:tplc="0421001B" w:tentative="1">
      <w:start w:val="1"/>
      <w:numFmt w:val="lowerRoman"/>
      <w:lvlText w:val="%9."/>
      <w:lvlJc w:val="right"/>
      <w:pPr>
        <w:ind w:left="10619" w:hanging="180"/>
      </w:pPr>
    </w:lvl>
  </w:abstractNum>
  <w:abstractNum w:abstractNumId="1" w15:restartNumberingAfterBreak="0">
    <w:nsid w:val="635B5C16"/>
    <w:multiLevelType w:val="hybridMultilevel"/>
    <w:tmpl w:val="FE34C58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75005124"/>
    <w:multiLevelType w:val="hybridMultilevel"/>
    <w:tmpl w:val="0EFE7354"/>
    <w:lvl w:ilvl="0" w:tplc="3809000F">
      <w:start w:val="1"/>
      <w:numFmt w:val="decimal"/>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16cid:durableId="987443882">
    <w:abstractNumId w:val="0"/>
  </w:num>
  <w:num w:numId="2" w16cid:durableId="1762749646">
    <w:abstractNumId w:val="1"/>
  </w:num>
  <w:num w:numId="3" w16cid:durableId="109459153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autoHyphenation/>
  <w:consecutiveHyphenLimit w:val="2"/>
  <w:doNotHyphenateCaps/>
  <w:evenAndOddHeaders/>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64"/>
    <w:rsid w:val="0000051F"/>
    <w:rsid w:val="00000660"/>
    <w:rsid w:val="00000C4B"/>
    <w:rsid w:val="000028F5"/>
    <w:rsid w:val="000031A8"/>
    <w:rsid w:val="000031B8"/>
    <w:rsid w:val="00004706"/>
    <w:rsid w:val="00004DBD"/>
    <w:rsid w:val="000050F4"/>
    <w:rsid w:val="000051CF"/>
    <w:rsid w:val="00007D7D"/>
    <w:rsid w:val="000105E6"/>
    <w:rsid w:val="00010A1A"/>
    <w:rsid w:val="000111BA"/>
    <w:rsid w:val="000115AB"/>
    <w:rsid w:val="000124A7"/>
    <w:rsid w:val="00013600"/>
    <w:rsid w:val="00014350"/>
    <w:rsid w:val="00014FD0"/>
    <w:rsid w:val="000157F3"/>
    <w:rsid w:val="00016A45"/>
    <w:rsid w:val="00020CC0"/>
    <w:rsid w:val="00021412"/>
    <w:rsid w:val="0002163D"/>
    <w:rsid w:val="00021D75"/>
    <w:rsid w:val="00021E37"/>
    <w:rsid w:val="00022B21"/>
    <w:rsid w:val="000240CA"/>
    <w:rsid w:val="000248EF"/>
    <w:rsid w:val="00026802"/>
    <w:rsid w:val="00026CAB"/>
    <w:rsid w:val="00031504"/>
    <w:rsid w:val="000330CC"/>
    <w:rsid w:val="000338CF"/>
    <w:rsid w:val="00033C90"/>
    <w:rsid w:val="00033EC9"/>
    <w:rsid w:val="000340D8"/>
    <w:rsid w:val="00034710"/>
    <w:rsid w:val="00034A71"/>
    <w:rsid w:val="000353F8"/>
    <w:rsid w:val="00035D26"/>
    <w:rsid w:val="00035F74"/>
    <w:rsid w:val="00036B9B"/>
    <w:rsid w:val="00036DDE"/>
    <w:rsid w:val="00036E7F"/>
    <w:rsid w:val="00041303"/>
    <w:rsid w:val="000420B6"/>
    <w:rsid w:val="0004382E"/>
    <w:rsid w:val="00043AD5"/>
    <w:rsid w:val="00044802"/>
    <w:rsid w:val="00045859"/>
    <w:rsid w:val="000474B5"/>
    <w:rsid w:val="00047649"/>
    <w:rsid w:val="00051C03"/>
    <w:rsid w:val="00052C03"/>
    <w:rsid w:val="00053481"/>
    <w:rsid w:val="0005374E"/>
    <w:rsid w:val="00054C2B"/>
    <w:rsid w:val="00054C5F"/>
    <w:rsid w:val="00055677"/>
    <w:rsid w:val="000562BF"/>
    <w:rsid w:val="00056A80"/>
    <w:rsid w:val="00056EC6"/>
    <w:rsid w:val="00057203"/>
    <w:rsid w:val="00060173"/>
    <w:rsid w:val="00061682"/>
    <w:rsid w:val="0006494D"/>
    <w:rsid w:val="00064EE4"/>
    <w:rsid w:val="000663AB"/>
    <w:rsid w:val="00066F9F"/>
    <w:rsid w:val="000717D3"/>
    <w:rsid w:val="000719F9"/>
    <w:rsid w:val="00071E26"/>
    <w:rsid w:val="00072435"/>
    <w:rsid w:val="00073048"/>
    <w:rsid w:val="000738CF"/>
    <w:rsid w:val="00074142"/>
    <w:rsid w:val="000751F9"/>
    <w:rsid w:val="00075245"/>
    <w:rsid w:val="000756A3"/>
    <w:rsid w:val="00076A52"/>
    <w:rsid w:val="00076E6C"/>
    <w:rsid w:val="00077CD0"/>
    <w:rsid w:val="00082542"/>
    <w:rsid w:val="00082BE7"/>
    <w:rsid w:val="0008354C"/>
    <w:rsid w:val="00083A34"/>
    <w:rsid w:val="00084E35"/>
    <w:rsid w:val="00085305"/>
    <w:rsid w:val="00086092"/>
    <w:rsid w:val="000866CA"/>
    <w:rsid w:val="00086C91"/>
    <w:rsid w:val="00087151"/>
    <w:rsid w:val="000905F2"/>
    <w:rsid w:val="00090D45"/>
    <w:rsid w:val="0009152F"/>
    <w:rsid w:val="00091876"/>
    <w:rsid w:val="00091D48"/>
    <w:rsid w:val="00092CDA"/>
    <w:rsid w:val="00093572"/>
    <w:rsid w:val="000945B2"/>
    <w:rsid w:val="00094ACD"/>
    <w:rsid w:val="000959B0"/>
    <w:rsid w:val="00096410"/>
    <w:rsid w:val="000971EA"/>
    <w:rsid w:val="000974A2"/>
    <w:rsid w:val="000978FB"/>
    <w:rsid w:val="00097BD6"/>
    <w:rsid w:val="000A095E"/>
    <w:rsid w:val="000A1609"/>
    <w:rsid w:val="000A173A"/>
    <w:rsid w:val="000A1751"/>
    <w:rsid w:val="000A1C70"/>
    <w:rsid w:val="000A1F44"/>
    <w:rsid w:val="000A369D"/>
    <w:rsid w:val="000A529F"/>
    <w:rsid w:val="000A5624"/>
    <w:rsid w:val="000A67B0"/>
    <w:rsid w:val="000A6A2F"/>
    <w:rsid w:val="000A728A"/>
    <w:rsid w:val="000A7640"/>
    <w:rsid w:val="000A7CC2"/>
    <w:rsid w:val="000B032A"/>
    <w:rsid w:val="000B1269"/>
    <w:rsid w:val="000B15D9"/>
    <w:rsid w:val="000B1EB1"/>
    <w:rsid w:val="000B26A4"/>
    <w:rsid w:val="000B2B45"/>
    <w:rsid w:val="000B37DD"/>
    <w:rsid w:val="000B3D4E"/>
    <w:rsid w:val="000B5205"/>
    <w:rsid w:val="000B5401"/>
    <w:rsid w:val="000B5F9A"/>
    <w:rsid w:val="000B73C5"/>
    <w:rsid w:val="000B754E"/>
    <w:rsid w:val="000C00F1"/>
    <w:rsid w:val="000C1BFE"/>
    <w:rsid w:val="000C37B9"/>
    <w:rsid w:val="000C3CEF"/>
    <w:rsid w:val="000C4179"/>
    <w:rsid w:val="000C4725"/>
    <w:rsid w:val="000C55FB"/>
    <w:rsid w:val="000C6B0B"/>
    <w:rsid w:val="000C6EBC"/>
    <w:rsid w:val="000D07B8"/>
    <w:rsid w:val="000D11FD"/>
    <w:rsid w:val="000D14BB"/>
    <w:rsid w:val="000D1B43"/>
    <w:rsid w:val="000D1FCB"/>
    <w:rsid w:val="000D204F"/>
    <w:rsid w:val="000D39CD"/>
    <w:rsid w:val="000D5120"/>
    <w:rsid w:val="000D517B"/>
    <w:rsid w:val="000D58FB"/>
    <w:rsid w:val="000D7C4A"/>
    <w:rsid w:val="000D7C67"/>
    <w:rsid w:val="000E0954"/>
    <w:rsid w:val="000E0E9C"/>
    <w:rsid w:val="000E1281"/>
    <w:rsid w:val="000E1BD5"/>
    <w:rsid w:val="000E1E88"/>
    <w:rsid w:val="000E329C"/>
    <w:rsid w:val="000E3D55"/>
    <w:rsid w:val="000E5339"/>
    <w:rsid w:val="000E6521"/>
    <w:rsid w:val="000E67E9"/>
    <w:rsid w:val="000E6C9B"/>
    <w:rsid w:val="000E71AD"/>
    <w:rsid w:val="000E790A"/>
    <w:rsid w:val="000F0160"/>
    <w:rsid w:val="000F067F"/>
    <w:rsid w:val="000F0859"/>
    <w:rsid w:val="000F125B"/>
    <w:rsid w:val="000F3115"/>
    <w:rsid w:val="000F486D"/>
    <w:rsid w:val="000F5665"/>
    <w:rsid w:val="000F5943"/>
    <w:rsid w:val="000F68F2"/>
    <w:rsid w:val="000F6A93"/>
    <w:rsid w:val="000F6BCB"/>
    <w:rsid w:val="000F6BFE"/>
    <w:rsid w:val="000F7527"/>
    <w:rsid w:val="00102761"/>
    <w:rsid w:val="00103019"/>
    <w:rsid w:val="00103A81"/>
    <w:rsid w:val="00104851"/>
    <w:rsid w:val="001059CD"/>
    <w:rsid w:val="00106D2F"/>
    <w:rsid w:val="00106D3F"/>
    <w:rsid w:val="00107702"/>
    <w:rsid w:val="00107C0C"/>
    <w:rsid w:val="00110A21"/>
    <w:rsid w:val="00110F7B"/>
    <w:rsid w:val="001113CB"/>
    <w:rsid w:val="00111D3E"/>
    <w:rsid w:val="00112E09"/>
    <w:rsid w:val="00113D36"/>
    <w:rsid w:val="001158C0"/>
    <w:rsid w:val="00115D31"/>
    <w:rsid w:val="0011662E"/>
    <w:rsid w:val="001206E3"/>
    <w:rsid w:val="00120E47"/>
    <w:rsid w:val="00121334"/>
    <w:rsid w:val="001219D7"/>
    <w:rsid w:val="00121B87"/>
    <w:rsid w:val="00122B5B"/>
    <w:rsid w:val="00122C07"/>
    <w:rsid w:val="001232E8"/>
    <w:rsid w:val="00123549"/>
    <w:rsid w:val="0012433B"/>
    <w:rsid w:val="001273AC"/>
    <w:rsid w:val="0012762E"/>
    <w:rsid w:val="001278DF"/>
    <w:rsid w:val="00127DC8"/>
    <w:rsid w:val="0013185A"/>
    <w:rsid w:val="00131E2C"/>
    <w:rsid w:val="001321DD"/>
    <w:rsid w:val="001327C9"/>
    <w:rsid w:val="00132896"/>
    <w:rsid w:val="00132CDB"/>
    <w:rsid w:val="00132DD8"/>
    <w:rsid w:val="001344F3"/>
    <w:rsid w:val="00134971"/>
    <w:rsid w:val="00134E4E"/>
    <w:rsid w:val="0014061F"/>
    <w:rsid w:val="00140B39"/>
    <w:rsid w:val="001432F8"/>
    <w:rsid w:val="00143659"/>
    <w:rsid w:val="001452EA"/>
    <w:rsid w:val="00145FC0"/>
    <w:rsid w:val="0014644B"/>
    <w:rsid w:val="0014764C"/>
    <w:rsid w:val="00150EB1"/>
    <w:rsid w:val="0015132B"/>
    <w:rsid w:val="0015135D"/>
    <w:rsid w:val="001518EB"/>
    <w:rsid w:val="00151B05"/>
    <w:rsid w:val="00151C49"/>
    <w:rsid w:val="001534F7"/>
    <w:rsid w:val="001537C5"/>
    <w:rsid w:val="00154D45"/>
    <w:rsid w:val="00155666"/>
    <w:rsid w:val="00157343"/>
    <w:rsid w:val="001576B7"/>
    <w:rsid w:val="00157AC4"/>
    <w:rsid w:val="00157DC2"/>
    <w:rsid w:val="001600BA"/>
    <w:rsid w:val="0016031F"/>
    <w:rsid w:val="001606F9"/>
    <w:rsid w:val="00160DAB"/>
    <w:rsid w:val="001612E4"/>
    <w:rsid w:val="00161DD4"/>
    <w:rsid w:val="001621FE"/>
    <w:rsid w:val="00162375"/>
    <w:rsid w:val="00162F84"/>
    <w:rsid w:val="00163598"/>
    <w:rsid w:val="00164852"/>
    <w:rsid w:val="0016593A"/>
    <w:rsid w:val="00166201"/>
    <w:rsid w:val="00166C3D"/>
    <w:rsid w:val="00170288"/>
    <w:rsid w:val="001711EF"/>
    <w:rsid w:val="001727AD"/>
    <w:rsid w:val="0017364B"/>
    <w:rsid w:val="00173D95"/>
    <w:rsid w:val="00174079"/>
    <w:rsid w:val="001745C0"/>
    <w:rsid w:val="001748E2"/>
    <w:rsid w:val="0017493C"/>
    <w:rsid w:val="00174A32"/>
    <w:rsid w:val="00174CE1"/>
    <w:rsid w:val="00175344"/>
    <w:rsid w:val="001753C5"/>
    <w:rsid w:val="0017557C"/>
    <w:rsid w:val="00175BAE"/>
    <w:rsid w:val="00175C2D"/>
    <w:rsid w:val="001777AC"/>
    <w:rsid w:val="00180300"/>
    <w:rsid w:val="00180A6E"/>
    <w:rsid w:val="00180C7C"/>
    <w:rsid w:val="00180EA5"/>
    <w:rsid w:val="00181595"/>
    <w:rsid w:val="00181CB9"/>
    <w:rsid w:val="00182198"/>
    <w:rsid w:val="00183F4C"/>
    <w:rsid w:val="001861CA"/>
    <w:rsid w:val="00187292"/>
    <w:rsid w:val="00187536"/>
    <w:rsid w:val="0018760B"/>
    <w:rsid w:val="00187DBE"/>
    <w:rsid w:val="00187DCE"/>
    <w:rsid w:val="00187E04"/>
    <w:rsid w:val="0019155B"/>
    <w:rsid w:val="00192570"/>
    <w:rsid w:val="001928F1"/>
    <w:rsid w:val="001939DB"/>
    <w:rsid w:val="00194DE9"/>
    <w:rsid w:val="00195684"/>
    <w:rsid w:val="00195C00"/>
    <w:rsid w:val="00196754"/>
    <w:rsid w:val="0019776B"/>
    <w:rsid w:val="00197ABA"/>
    <w:rsid w:val="001A034C"/>
    <w:rsid w:val="001A07B9"/>
    <w:rsid w:val="001A0E0B"/>
    <w:rsid w:val="001A0E2E"/>
    <w:rsid w:val="001A0F59"/>
    <w:rsid w:val="001A0FB1"/>
    <w:rsid w:val="001A120E"/>
    <w:rsid w:val="001A20DF"/>
    <w:rsid w:val="001A2D2B"/>
    <w:rsid w:val="001A3482"/>
    <w:rsid w:val="001A4130"/>
    <w:rsid w:val="001A4176"/>
    <w:rsid w:val="001A58D5"/>
    <w:rsid w:val="001A61D5"/>
    <w:rsid w:val="001A755C"/>
    <w:rsid w:val="001A7798"/>
    <w:rsid w:val="001A7972"/>
    <w:rsid w:val="001A7C78"/>
    <w:rsid w:val="001B06C7"/>
    <w:rsid w:val="001B11AD"/>
    <w:rsid w:val="001B30C1"/>
    <w:rsid w:val="001B3A24"/>
    <w:rsid w:val="001B3CB3"/>
    <w:rsid w:val="001B3E8B"/>
    <w:rsid w:val="001B432D"/>
    <w:rsid w:val="001B4480"/>
    <w:rsid w:val="001B48E1"/>
    <w:rsid w:val="001B7E94"/>
    <w:rsid w:val="001C059C"/>
    <w:rsid w:val="001C14B5"/>
    <w:rsid w:val="001C2F51"/>
    <w:rsid w:val="001C4052"/>
    <w:rsid w:val="001C4062"/>
    <w:rsid w:val="001C44C1"/>
    <w:rsid w:val="001C533B"/>
    <w:rsid w:val="001C5E68"/>
    <w:rsid w:val="001C6E71"/>
    <w:rsid w:val="001C797F"/>
    <w:rsid w:val="001D134C"/>
    <w:rsid w:val="001D28F8"/>
    <w:rsid w:val="001D2B66"/>
    <w:rsid w:val="001D3A5C"/>
    <w:rsid w:val="001D56F9"/>
    <w:rsid w:val="001D707B"/>
    <w:rsid w:val="001D79CD"/>
    <w:rsid w:val="001D7AC8"/>
    <w:rsid w:val="001E091A"/>
    <w:rsid w:val="001E0D47"/>
    <w:rsid w:val="001E167F"/>
    <w:rsid w:val="001E2F17"/>
    <w:rsid w:val="001E3817"/>
    <w:rsid w:val="001E425D"/>
    <w:rsid w:val="001E4EFB"/>
    <w:rsid w:val="001E77C1"/>
    <w:rsid w:val="001E7EC6"/>
    <w:rsid w:val="001E7FBE"/>
    <w:rsid w:val="001F0775"/>
    <w:rsid w:val="001F1320"/>
    <w:rsid w:val="001F26D6"/>
    <w:rsid w:val="001F39B6"/>
    <w:rsid w:val="001F3B3E"/>
    <w:rsid w:val="001F431A"/>
    <w:rsid w:val="001F437B"/>
    <w:rsid w:val="001F5101"/>
    <w:rsid w:val="001F5652"/>
    <w:rsid w:val="001F5BA9"/>
    <w:rsid w:val="001F5D15"/>
    <w:rsid w:val="001F6315"/>
    <w:rsid w:val="001F6CE3"/>
    <w:rsid w:val="001F74F0"/>
    <w:rsid w:val="001F7E84"/>
    <w:rsid w:val="001F7EA5"/>
    <w:rsid w:val="00200DE2"/>
    <w:rsid w:val="00201582"/>
    <w:rsid w:val="002020BB"/>
    <w:rsid w:val="002024B4"/>
    <w:rsid w:val="00206DFB"/>
    <w:rsid w:val="00207260"/>
    <w:rsid w:val="0020728D"/>
    <w:rsid w:val="0020789E"/>
    <w:rsid w:val="00207B57"/>
    <w:rsid w:val="00207ECD"/>
    <w:rsid w:val="00211B62"/>
    <w:rsid w:val="00212640"/>
    <w:rsid w:val="00212FC5"/>
    <w:rsid w:val="0021311E"/>
    <w:rsid w:val="00213D89"/>
    <w:rsid w:val="00213EFF"/>
    <w:rsid w:val="00213FBB"/>
    <w:rsid w:val="002148CF"/>
    <w:rsid w:val="00214FF0"/>
    <w:rsid w:val="00215086"/>
    <w:rsid w:val="00215D6F"/>
    <w:rsid w:val="00216258"/>
    <w:rsid w:val="00216910"/>
    <w:rsid w:val="00216F9C"/>
    <w:rsid w:val="00220F98"/>
    <w:rsid w:val="00221089"/>
    <w:rsid w:val="002212C8"/>
    <w:rsid w:val="00222785"/>
    <w:rsid w:val="00222BC8"/>
    <w:rsid w:val="00224FC1"/>
    <w:rsid w:val="00226E95"/>
    <w:rsid w:val="00226FC7"/>
    <w:rsid w:val="00227F6C"/>
    <w:rsid w:val="0023030D"/>
    <w:rsid w:val="00230878"/>
    <w:rsid w:val="00231305"/>
    <w:rsid w:val="00232287"/>
    <w:rsid w:val="00232B0D"/>
    <w:rsid w:val="00232DEE"/>
    <w:rsid w:val="002333F2"/>
    <w:rsid w:val="002334BB"/>
    <w:rsid w:val="002344C7"/>
    <w:rsid w:val="002347F7"/>
    <w:rsid w:val="002348AC"/>
    <w:rsid w:val="00235039"/>
    <w:rsid w:val="00235CA5"/>
    <w:rsid w:val="00237712"/>
    <w:rsid w:val="00237934"/>
    <w:rsid w:val="00240333"/>
    <w:rsid w:val="002406EA"/>
    <w:rsid w:val="00240867"/>
    <w:rsid w:val="00240B4B"/>
    <w:rsid w:val="00240FD3"/>
    <w:rsid w:val="002410DD"/>
    <w:rsid w:val="00241819"/>
    <w:rsid w:val="0024196B"/>
    <w:rsid w:val="00241ECE"/>
    <w:rsid w:val="00244A5C"/>
    <w:rsid w:val="0024667A"/>
    <w:rsid w:val="00247B6E"/>
    <w:rsid w:val="00247FDD"/>
    <w:rsid w:val="002500BF"/>
    <w:rsid w:val="0025012E"/>
    <w:rsid w:val="00250ABB"/>
    <w:rsid w:val="00250BEC"/>
    <w:rsid w:val="00251699"/>
    <w:rsid w:val="0025169B"/>
    <w:rsid w:val="00252528"/>
    <w:rsid w:val="00252A0F"/>
    <w:rsid w:val="00253405"/>
    <w:rsid w:val="00255019"/>
    <w:rsid w:val="002551CA"/>
    <w:rsid w:val="002558CF"/>
    <w:rsid w:val="002573FF"/>
    <w:rsid w:val="002576B0"/>
    <w:rsid w:val="00260A30"/>
    <w:rsid w:val="002613F9"/>
    <w:rsid w:val="002627F1"/>
    <w:rsid w:val="002631A0"/>
    <w:rsid w:val="00263F32"/>
    <w:rsid w:val="00264CF8"/>
    <w:rsid w:val="00265649"/>
    <w:rsid w:val="0026793B"/>
    <w:rsid w:val="00267D37"/>
    <w:rsid w:val="00270050"/>
    <w:rsid w:val="0027005A"/>
    <w:rsid w:val="0027053D"/>
    <w:rsid w:val="00271C39"/>
    <w:rsid w:val="00272664"/>
    <w:rsid w:val="002730A5"/>
    <w:rsid w:val="002751E0"/>
    <w:rsid w:val="002754E7"/>
    <w:rsid w:val="00275872"/>
    <w:rsid w:val="002766BF"/>
    <w:rsid w:val="002768C8"/>
    <w:rsid w:val="0027743E"/>
    <w:rsid w:val="002774B4"/>
    <w:rsid w:val="00281FBB"/>
    <w:rsid w:val="00283CD0"/>
    <w:rsid w:val="0028545C"/>
    <w:rsid w:val="002874C1"/>
    <w:rsid w:val="00287B0A"/>
    <w:rsid w:val="00287B4F"/>
    <w:rsid w:val="00290DF2"/>
    <w:rsid w:val="0029258D"/>
    <w:rsid w:val="00292EB8"/>
    <w:rsid w:val="00293D66"/>
    <w:rsid w:val="002954DF"/>
    <w:rsid w:val="00295675"/>
    <w:rsid w:val="0029571A"/>
    <w:rsid w:val="002A0969"/>
    <w:rsid w:val="002A1578"/>
    <w:rsid w:val="002A16C4"/>
    <w:rsid w:val="002A1BFE"/>
    <w:rsid w:val="002A1D35"/>
    <w:rsid w:val="002A25EF"/>
    <w:rsid w:val="002A2ED7"/>
    <w:rsid w:val="002A3667"/>
    <w:rsid w:val="002A3A75"/>
    <w:rsid w:val="002A3C9B"/>
    <w:rsid w:val="002A3CFF"/>
    <w:rsid w:val="002A40A3"/>
    <w:rsid w:val="002A477F"/>
    <w:rsid w:val="002A4CAB"/>
    <w:rsid w:val="002A622C"/>
    <w:rsid w:val="002A7A86"/>
    <w:rsid w:val="002A7E03"/>
    <w:rsid w:val="002A7F14"/>
    <w:rsid w:val="002B326A"/>
    <w:rsid w:val="002B3563"/>
    <w:rsid w:val="002B4C83"/>
    <w:rsid w:val="002B7A41"/>
    <w:rsid w:val="002C07FF"/>
    <w:rsid w:val="002C10F7"/>
    <w:rsid w:val="002C144F"/>
    <w:rsid w:val="002C260A"/>
    <w:rsid w:val="002C2A3B"/>
    <w:rsid w:val="002C2D2E"/>
    <w:rsid w:val="002C316E"/>
    <w:rsid w:val="002C3A70"/>
    <w:rsid w:val="002C3EE7"/>
    <w:rsid w:val="002C40C4"/>
    <w:rsid w:val="002C504E"/>
    <w:rsid w:val="002C6C49"/>
    <w:rsid w:val="002D0988"/>
    <w:rsid w:val="002D0CED"/>
    <w:rsid w:val="002D25CF"/>
    <w:rsid w:val="002D2D92"/>
    <w:rsid w:val="002D3EF9"/>
    <w:rsid w:val="002D4298"/>
    <w:rsid w:val="002D4555"/>
    <w:rsid w:val="002D5917"/>
    <w:rsid w:val="002D5BB4"/>
    <w:rsid w:val="002D5C28"/>
    <w:rsid w:val="002D60CB"/>
    <w:rsid w:val="002D6DA6"/>
    <w:rsid w:val="002E0621"/>
    <w:rsid w:val="002E0BE8"/>
    <w:rsid w:val="002E1672"/>
    <w:rsid w:val="002E1828"/>
    <w:rsid w:val="002E1A85"/>
    <w:rsid w:val="002E1F46"/>
    <w:rsid w:val="002E4197"/>
    <w:rsid w:val="002E65BE"/>
    <w:rsid w:val="002F0819"/>
    <w:rsid w:val="002F0C06"/>
    <w:rsid w:val="002F0DC2"/>
    <w:rsid w:val="002F1C2D"/>
    <w:rsid w:val="002F2615"/>
    <w:rsid w:val="002F32FA"/>
    <w:rsid w:val="002F3590"/>
    <w:rsid w:val="002F55BA"/>
    <w:rsid w:val="002F56BA"/>
    <w:rsid w:val="002F5B5D"/>
    <w:rsid w:val="002F61CA"/>
    <w:rsid w:val="002F69A7"/>
    <w:rsid w:val="002F75B0"/>
    <w:rsid w:val="002F7E4D"/>
    <w:rsid w:val="003001A6"/>
    <w:rsid w:val="0030024A"/>
    <w:rsid w:val="00301814"/>
    <w:rsid w:val="00302122"/>
    <w:rsid w:val="00302EC7"/>
    <w:rsid w:val="0030390C"/>
    <w:rsid w:val="00303FB7"/>
    <w:rsid w:val="00306AB8"/>
    <w:rsid w:val="00306C8B"/>
    <w:rsid w:val="003072F6"/>
    <w:rsid w:val="00307BF9"/>
    <w:rsid w:val="00310953"/>
    <w:rsid w:val="0031124D"/>
    <w:rsid w:val="00311707"/>
    <w:rsid w:val="0031226E"/>
    <w:rsid w:val="003136B9"/>
    <w:rsid w:val="00314516"/>
    <w:rsid w:val="0031473C"/>
    <w:rsid w:val="003160E9"/>
    <w:rsid w:val="00316515"/>
    <w:rsid w:val="0031666D"/>
    <w:rsid w:val="00317C3B"/>
    <w:rsid w:val="0032044F"/>
    <w:rsid w:val="00321F12"/>
    <w:rsid w:val="00323BAF"/>
    <w:rsid w:val="00323BE0"/>
    <w:rsid w:val="00323ED2"/>
    <w:rsid w:val="00324182"/>
    <w:rsid w:val="0032439D"/>
    <w:rsid w:val="00324603"/>
    <w:rsid w:val="00324BB9"/>
    <w:rsid w:val="00325613"/>
    <w:rsid w:val="003258C1"/>
    <w:rsid w:val="003269EC"/>
    <w:rsid w:val="00327141"/>
    <w:rsid w:val="00330055"/>
    <w:rsid w:val="003303A5"/>
    <w:rsid w:val="003306E4"/>
    <w:rsid w:val="00330FEA"/>
    <w:rsid w:val="00331FCE"/>
    <w:rsid w:val="00334228"/>
    <w:rsid w:val="0033543F"/>
    <w:rsid w:val="003354FF"/>
    <w:rsid w:val="003356DE"/>
    <w:rsid w:val="0033730D"/>
    <w:rsid w:val="00340D05"/>
    <w:rsid w:val="00341C41"/>
    <w:rsid w:val="003437F0"/>
    <w:rsid w:val="0034422A"/>
    <w:rsid w:val="00344BF7"/>
    <w:rsid w:val="00346113"/>
    <w:rsid w:val="00346FC6"/>
    <w:rsid w:val="003475BD"/>
    <w:rsid w:val="00347CD0"/>
    <w:rsid w:val="00350CC5"/>
    <w:rsid w:val="003510C9"/>
    <w:rsid w:val="0035154D"/>
    <w:rsid w:val="00352B97"/>
    <w:rsid w:val="00353135"/>
    <w:rsid w:val="00353C70"/>
    <w:rsid w:val="0035425E"/>
    <w:rsid w:val="00356761"/>
    <w:rsid w:val="00356BA2"/>
    <w:rsid w:val="003570FC"/>
    <w:rsid w:val="00357994"/>
    <w:rsid w:val="00360A49"/>
    <w:rsid w:val="003612E1"/>
    <w:rsid w:val="00361814"/>
    <w:rsid w:val="0036281E"/>
    <w:rsid w:val="003638DD"/>
    <w:rsid w:val="0036404B"/>
    <w:rsid w:val="00364C7C"/>
    <w:rsid w:val="00365BF0"/>
    <w:rsid w:val="00366B57"/>
    <w:rsid w:val="003679B4"/>
    <w:rsid w:val="003679C0"/>
    <w:rsid w:val="00367DE0"/>
    <w:rsid w:val="003715D0"/>
    <w:rsid w:val="00371C36"/>
    <w:rsid w:val="00373E1F"/>
    <w:rsid w:val="0037680A"/>
    <w:rsid w:val="00376BBB"/>
    <w:rsid w:val="0038045B"/>
    <w:rsid w:val="00380608"/>
    <w:rsid w:val="00380668"/>
    <w:rsid w:val="003808B4"/>
    <w:rsid w:val="0038090F"/>
    <w:rsid w:val="003812CA"/>
    <w:rsid w:val="00382590"/>
    <w:rsid w:val="003826B7"/>
    <w:rsid w:val="0038355B"/>
    <w:rsid w:val="00386705"/>
    <w:rsid w:val="00387292"/>
    <w:rsid w:val="00391589"/>
    <w:rsid w:val="0039161F"/>
    <w:rsid w:val="003919DE"/>
    <w:rsid w:val="0039292B"/>
    <w:rsid w:val="00393762"/>
    <w:rsid w:val="00393A42"/>
    <w:rsid w:val="00394354"/>
    <w:rsid w:val="00394A13"/>
    <w:rsid w:val="0039529E"/>
    <w:rsid w:val="003976D0"/>
    <w:rsid w:val="003A170F"/>
    <w:rsid w:val="003A1ADF"/>
    <w:rsid w:val="003A1B34"/>
    <w:rsid w:val="003A24A9"/>
    <w:rsid w:val="003A2546"/>
    <w:rsid w:val="003A373B"/>
    <w:rsid w:val="003A7401"/>
    <w:rsid w:val="003B05DD"/>
    <w:rsid w:val="003B0699"/>
    <w:rsid w:val="003B2710"/>
    <w:rsid w:val="003B2C02"/>
    <w:rsid w:val="003B31D1"/>
    <w:rsid w:val="003B49EB"/>
    <w:rsid w:val="003B4AC2"/>
    <w:rsid w:val="003B5BB4"/>
    <w:rsid w:val="003B6AEA"/>
    <w:rsid w:val="003B71C2"/>
    <w:rsid w:val="003C0DAD"/>
    <w:rsid w:val="003C1A69"/>
    <w:rsid w:val="003C2999"/>
    <w:rsid w:val="003C310F"/>
    <w:rsid w:val="003C3DEA"/>
    <w:rsid w:val="003C3E92"/>
    <w:rsid w:val="003C4CED"/>
    <w:rsid w:val="003C5862"/>
    <w:rsid w:val="003C5CE2"/>
    <w:rsid w:val="003C6061"/>
    <w:rsid w:val="003C6B0C"/>
    <w:rsid w:val="003C6B33"/>
    <w:rsid w:val="003C6B69"/>
    <w:rsid w:val="003D05E0"/>
    <w:rsid w:val="003D0B52"/>
    <w:rsid w:val="003D0C18"/>
    <w:rsid w:val="003D1DDE"/>
    <w:rsid w:val="003D2B06"/>
    <w:rsid w:val="003D41E9"/>
    <w:rsid w:val="003D500D"/>
    <w:rsid w:val="003D59D1"/>
    <w:rsid w:val="003D59D7"/>
    <w:rsid w:val="003D6364"/>
    <w:rsid w:val="003D693E"/>
    <w:rsid w:val="003D7BB9"/>
    <w:rsid w:val="003E0980"/>
    <w:rsid w:val="003E1965"/>
    <w:rsid w:val="003E3E12"/>
    <w:rsid w:val="003E4792"/>
    <w:rsid w:val="003E4CCB"/>
    <w:rsid w:val="003E55E5"/>
    <w:rsid w:val="003E5DA9"/>
    <w:rsid w:val="003E6539"/>
    <w:rsid w:val="003F07D4"/>
    <w:rsid w:val="003F1076"/>
    <w:rsid w:val="003F3171"/>
    <w:rsid w:val="003F38D5"/>
    <w:rsid w:val="003F4002"/>
    <w:rsid w:val="003F42F8"/>
    <w:rsid w:val="003F432E"/>
    <w:rsid w:val="003F5C2B"/>
    <w:rsid w:val="003F6212"/>
    <w:rsid w:val="003F6361"/>
    <w:rsid w:val="003F67CA"/>
    <w:rsid w:val="003F6880"/>
    <w:rsid w:val="003F6F03"/>
    <w:rsid w:val="003F71AF"/>
    <w:rsid w:val="003F77E9"/>
    <w:rsid w:val="003F78A2"/>
    <w:rsid w:val="004001B4"/>
    <w:rsid w:val="0040153E"/>
    <w:rsid w:val="00401C00"/>
    <w:rsid w:val="00403D81"/>
    <w:rsid w:val="00404419"/>
    <w:rsid w:val="004070E3"/>
    <w:rsid w:val="0040793D"/>
    <w:rsid w:val="004119BF"/>
    <w:rsid w:val="004122BC"/>
    <w:rsid w:val="004129B7"/>
    <w:rsid w:val="00412CD1"/>
    <w:rsid w:val="0041313E"/>
    <w:rsid w:val="00413A28"/>
    <w:rsid w:val="0041408A"/>
    <w:rsid w:val="0041465C"/>
    <w:rsid w:val="00414FC8"/>
    <w:rsid w:val="00415747"/>
    <w:rsid w:val="00415CB9"/>
    <w:rsid w:val="00415E88"/>
    <w:rsid w:val="004165F0"/>
    <w:rsid w:val="004173A0"/>
    <w:rsid w:val="004173DB"/>
    <w:rsid w:val="00420B6E"/>
    <w:rsid w:val="00420CF6"/>
    <w:rsid w:val="0042176E"/>
    <w:rsid w:val="004217B3"/>
    <w:rsid w:val="004220CC"/>
    <w:rsid w:val="004222E5"/>
    <w:rsid w:val="00425AC5"/>
    <w:rsid w:val="004262C2"/>
    <w:rsid w:val="00426516"/>
    <w:rsid w:val="00427985"/>
    <w:rsid w:val="00427C47"/>
    <w:rsid w:val="00427F18"/>
    <w:rsid w:val="0043101F"/>
    <w:rsid w:val="0043137C"/>
    <w:rsid w:val="00433A63"/>
    <w:rsid w:val="004341CF"/>
    <w:rsid w:val="004348DB"/>
    <w:rsid w:val="00434B9C"/>
    <w:rsid w:val="00436FAC"/>
    <w:rsid w:val="004374D5"/>
    <w:rsid w:val="00440BCB"/>
    <w:rsid w:val="00441A64"/>
    <w:rsid w:val="00441E7A"/>
    <w:rsid w:val="0044261B"/>
    <w:rsid w:val="0044286A"/>
    <w:rsid w:val="00442956"/>
    <w:rsid w:val="00443083"/>
    <w:rsid w:val="0044316D"/>
    <w:rsid w:val="0044388D"/>
    <w:rsid w:val="00445B6D"/>
    <w:rsid w:val="00446C51"/>
    <w:rsid w:val="004470E7"/>
    <w:rsid w:val="004511FC"/>
    <w:rsid w:val="0045319B"/>
    <w:rsid w:val="00454AD9"/>
    <w:rsid w:val="00454B13"/>
    <w:rsid w:val="00454E1A"/>
    <w:rsid w:val="00455F1A"/>
    <w:rsid w:val="00456FF1"/>
    <w:rsid w:val="004605E5"/>
    <w:rsid w:val="0046063F"/>
    <w:rsid w:val="00460750"/>
    <w:rsid w:val="00460FC7"/>
    <w:rsid w:val="0046292F"/>
    <w:rsid w:val="00462FE1"/>
    <w:rsid w:val="0046447E"/>
    <w:rsid w:val="004644ED"/>
    <w:rsid w:val="00464BCA"/>
    <w:rsid w:val="00465077"/>
    <w:rsid w:val="0047055E"/>
    <w:rsid w:val="00470BD7"/>
    <w:rsid w:val="00470F8C"/>
    <w:rsid w:val="004713D5"/>
    <w:rsid w:val="004724A5"/>
    <w:rsid w:val="004728F4"/>
    <w:rsid w:val="00472AD0"/>
    <w:rsid w:val="00472D72"/>
    <w:rsid w:val="00472E78"/>
    <w:rsid w:val="004735E4"/>
    <w:rsid w:val="00473A56"/>
    <w:rsid w:val="00473D06"/>
    <w:rsid w:val="00476076"/>
    <w:rsid w:val="004764F0"/>
    <w:rsid w:val="00481E4C"/>
    <w:rsid w:val="004829CE"/>
    <w:rsid w:val="00482D4D"/>
    <w:rsid w:val="00483740"/>
    <w:rsid w:val="0048491F"/>
    <w:rsid w:val="00485CC3"/>
    <w:rsid w:val="00485D89"/>
    <w:rsid w:val="00490061"/>
    <w:rsid w:val="004903BD"/>
    <w:rsid w:val="004908A8"/>
    <w:rsid w:val="00490DE7"/>
    <w:rsid w:val="0049149D"/>
    <w:rsid w:val="004919C1"/>
    <w:rsid w:val="00491CF7"/>
    <w:rsid w:val="00491EBE"/>
    <w:rsid w:val="00492201"/>
    <w:rsid w:val="004923C3"/>
    <w:rsid w:val="004923F2"/>
    <w:rsid w:val="004935ED"/>
    <w:rsid w:val="0049473A"/>
    <w:rsid w:val="00494A03"/>
    <w:rsid w:val="00494B1B"/>
    <w:rsid w:val="00494F8E"/>
    <w:rsid w:val="00496AAD"/>
    <w:rsid w:val="00496C97"/>
    <w:rsid w:val="004A075D"/>
    <w:rsid w:val="004A0D2E"/>
    <w:rsid w:val="004A0DAA"/>
    <w:rsid w:val="004A20DE"/>
    <w:rsid w:val="004A2DF8"/>
    <w:rsid w:val="004A38E2"/>
    <w:rsid w:val="004A3C4E"/>
    <w:rsid w:val="004A3FA6"/>
    <w:rsid w:val="004A4D65"/>
    <w:rsid w:val="004A58D5"/>
    <w:rsid w:val="004A5B6D"/>
    <w:rsid w:val="004A74F5"/>
    <w:rsid w:val="004A76F7"/>
    <w:rsid w:val="004A79EC"/>
    <w:rsid w:val="004A7DEA"/>
    <w:rsid w:val="004B0319"/>
    <w:rsid w:val="004B2263"/>
    <w:rsid w:val="004B22EA"/>
    <w:rsid w:val="004B496D"/>
    <w:rsid w:val="004B4A51"/>
    <w:rsid w:val="004B6E1A"/>
    <w:rsid w:val="004B7DBB"/>
    <w:rsid w:val="004C0CF6"/>
    <w:rsid w:val="004C0E9C"/>
    <w:rsid w:val="004C119B"/>
    <w:rsid w:val="004C18BE"/>
    <w:rsid w:val="004C20CB"/>
    <w:rsid w:val="004C3AC4"/>
    <w:rsid w:val="004C42C2"/>
    <w:rsid w:val="004C431F"/>
    <w:rsid w:val="004C4577"/>
    <w:rsid w:val="004C4C7A"/>
    <w:rsid w:val="004C4E5F"/>
    <w:rsid w:val="004C5A88"/>
    <w:rsid w:val="004C5C75"/>
    <w:rsid w:val="004D133B"/>
    <w:rsid w:val="004D177E"/>
    <w:rsid w:val="004D23EC"/>
    <w:rsid w:val="004D28AD"/>
    <w:rsid w:val="004D5680"/>
    <w:rsid w:val="004D5A4F"/>
    <w:rsid w:val="004D5C7F"/>
    <w:rsid w:val="004D66E0"/>
    <w:rsid w:val="004D6F45"/>
    <w:rsid w:val="004E0C0B"/>
    <w:rsid w:val="004E1081"/>
    <w:rsid w:val="004E127D"/>
    <w:rsid w:val="004E1D36"/>
    <w:rsid w:val="004E1F94"/>
    <w:rsid w:val="004E293D"/>
    <w:rsid w:val="004E35BA"/>
    <w:rsid w:val="004E3765"/>
    <w:rsid w:val="004E481B"/>
    <w:rsid w:val="004E5015"/>
    <w:rsid w:val="004E5A1A"/>
    <w:rsid w:val="004E5A9B"/>
    <w:rsid w:val="004E6208"/>
    <w:rsid w:val="004E6769"/>
    <w:rsid w:val="004E6899"/>
    <w:rsid w:val="004E7DDC"/>
    <w:rsid w:val="004F299B"/>
    <w:rsid w:val="004F29B3"/>
    <w:rsid w:val="004F2C0B"/>
    <w:rsid w:val="004F3678"/>
    <w:rsid w:val="004F69C6"/>
    <w:rsid w:val="004F717F"/>
    <w:rsid w:val="004F7630"/>
    <w:rsid w:val="005017FC"/>
    <w:rsid w:val="005048F8"/>
    <w:rsid w:val="00505186"/>
    <w:rsid w:val="0050633A"/>
    <w:rsid w:val="00506665"/>
    <w:rsid w:val="00506C8D"/>
    <w:rsid w:val="00510182"/>
    <w:rsid w:val="00511131"/>
    <w:rsid w:val="00511CAB"/>
    <w:rsid w:val="00511D31"/>
    <w:rsid w:val="00511E8A"/>
    <w:rsid w:val="005146DE"/>
    <w:rsid w:val="00514958"/>
    <w:rsid w:val="00514BBD"/>
    <w:rsid w:val="00521CA8"/>
    <w:rsid w:val="0052220A"/>
    <w:rsid w:val="005224EC"/>
    <w:rsid w:val="00522B2D"/>
    <w:rsid w:val="005230E1"/>
    <w:rsid w:val="00524228"/>
    <w:rsid w:val="00524A23"/>
    <w:rsid w:val="005251DF"/>
    <w:rsid w:val="00525C87"/>
    <w:rsid w:val="005260CE"/>
    <w:rsid w:val="0052626B"/>
    <w:rsid w:val="00526E0E"/>
    <w:rsid w:val="0053060E"/>
    <w:rsid w:val="00530ED3"/>
    <w:rsid w:val="00531813"/>
    <w:rsid w:val="0053202D"/>
    <w:rsid w:val="00532AA7"/>
    <w:rsid w:val="00533179"/>
    <w:rsid w:val="0053379D"/>
    <w:rsid w:val="005337DE"/>
    <w:rsid w:val="0053427B"/>
    <w:rsid w:val="0053448D"/>
    <w:rsid w:val="00534551"/>
    <w:rsid w:val="00534897"/>
    <w:rsid w:val="00534DC0"/>
    <w:rsid w:val="00537A16"/>
    <w:rsid w:val="00542447"/>
    <w:rsid w:val="005432F2"/>
    <w:rsid w:val="00543644"/>
    <w:rsid w:val="00543EF9"/>
    <w:rsid w:val="00545E9C"/>
    <w:rsid w:val="00546B51"/>
    <w:rsid w:val="00547220"/>
    <w:rsid w:val="00547891"/>
    <w:rsid w:val="00547971"/>
    <w:rsid w:val="00547B65"/>
    <w:rsid w:val="005507DE"/>
    <w:rsid w:val="00550E1E"/>
    <w:rsid w:val="00551070"/>
    <w:rsid w:val="00551111"/>
    <w:rsid w:val="005524A2"/>
    <w:rsid w:val="00552EF1"/>
    <w:rsid w:val="00554424"/>
    <w:rsid w:val="005548AB"/>
    <w:rsid w:val="00555531"/>
    <w:rsid w:val="00555DB4"/>
    <w:rsid w:val="00556D1E"/>
    <w:rsid w:val="00556F48"/>
    <w:rsid w:val="00557776"/>
    <w:rsid w:val="0056033F"/>
    <w:rsid w:val="0056044D"/>
    <w:rsid w:val="00560EDA"/>
    <w:rsid w:val="00562C9C"/>
    <w:rsid w:val="005631A3"/>
    <w:rsid w:val="00563D04"/>
    <w:rsid w:val="00564AF9"/>
    <w:rsid w:val="00564D61"/>
    <w:rsid w:val="005658EE"/>
    <w:rsid w:val="00566AA0"/>
    <w:rsid w:val="005674F7"/>
    <w:rsid w:val="005707F0"/>
    <w:rsid w:val="00571557"/>
    <w:rsid w:val="00572FA8"/>
    <w:rsid w:val="005730FB"/>
    <w:rsid w:val="00573BBD"/>
    <w:rsid w:val="00574D68"/>
    <w:rsid w:val="00574E58"/>
    <w:rsid w:val="0057542B"/>
    <w:rsid w:val="005756DE"/>
    <w:rsid w:val="0057671F"/>
    <w:rsid w:val="005768BC"/>
    <w:rsid w:val="0057709B"/>
    <w:rsid w:val="005774E6"/>
    <w:rsid w:val="00577B4B"/>
    <w:rsid w:val="00577C8B"/>
    <w:rsid w:val="00583BBB"/>
    <w:rsid w:val="00583CD5"/>
    <w:rsid w:val="0058578A"/>
    <w:rsid w:val="0058593D"/>
    <w:rsid w:val="00585C32"/>
    <w:rsid w:val="00585C76"/>
    <w:rsid w:val="005907D3"/>
    <w:rsid w:val="005917F2"/>
    <w:rsid w:val="00594044"/>
    <w:rsid w:val="00594E29"/>
    <w:rsid w:val="00595479"/>
    <w:rsid w:val="00595F51"/>
    <w:rsid w:val="005A000D"/>
    <w:rsid w:val="005A021B"/>
    <w:rsid w:val="005A07E6"/>
    <w:rsid w:val="005A1006"/>
    <w:rsid w:val="005A126F"/>
    <w:rsid w:val="005A225D"/>
    <w:rsid w:val="005A3C03"/>
    <w:rsid w:val="005A40A7"/>
    <w:rsid w:val="005A4120"/>
    <w:rsid w:val="005A48E7"/>
    <w:rsid w:val="005A5116"/>
    <w:rsid w:val="005A51D2"/>
    <w:rsid w:val="005A545A"/>
    <w:rsid w:val="005A672F"/>
    <w:rsid w:val="005A7A1D"/>
    <w:rsid w:val="005B11B2"/>
    <w:rsid w:val="005B1387"/>
    <w:rsid w:val="005B1917"/>
    <w:rsid w:val="005B1AFF"/>
    <w:rsid w:val="005B2BB5"/>
    <w:rsid w:val="005B32D9"/>
    <w:rsid w:val="005B3532"/>
    <w:rsid w:val="005B4126"/>
    <w:rsid w:val="005B4564"/>
    <w:rsid w:val="005B5261"/>
    <w:rsid w:val="005B545D"/>
    <w:rsid w:val="005B54FF"/>
    <w:rsid w:val="005B5B34"/>
    <w:rsid w:val="005B66AE"/>
    <w:rsid w:val="005B73E3"/>
    <w:rsid w:val="005C016B"/>
    <w:rsid w:val="005C2F6E"/>
    <w:rsid w:val="005C5A88"/>
    <w:rsid w:val="005C6358"/>
    <w:rsid w:val="005C6CDA"/>
    <w:rsid w:val="005C7C3A"/>
    <w:rsid w:val="005C7E54"/>
    <w:rsid w:val="005D088B"/>
    <w:rsid w:val="005D16D1"/>
    <w:rsid w:val="005D1864"/>
    <w:rsid w:val="005D2A4E"/>
    <w:rsid w:val="005D3574"/>
    <w:rsid w:val="005D3C3C"/>
    <w:rsid w:val="005D4D80"/>
    <w:rsid w:val="005D63C2"/>
    <w:rsid w:val="005D69BD"/>
    <w:rsid w:val="005D78E9"/>
    <w:rsid w:val="005D7DFA"/>
    <w:rsid w:val="005E05C5"/>
    <w:rsid w:val="005E0B5E"/>
    <w:rsid w:val="005E2500"/>
    <w:rsid w:val="005E26A9"/>
    <w:rsid w:val="005E2AC3"/>
    <w:rsid w:val="005E35A3"/>
    <w:rsid w:val="005E36A6"/>
    <w:rsid w:val="005E4859"/>
    <w:rsid w:val="005E4F92"/>
    <w:rsid w:val="005E5305"/>
    <w:rsid w:val="005E6C22"/>
    <w:rsid w:val="005E79FB"/>
    <w:rsid w:val="005E7A97"/>
    <w:rsid w:val="005F0B5F"/>
    <w:rsid w:val="005F2C39"/>
    <w:rsid w:val="005F2CB8"/>
    <w:rsid w:val="005F3D3B"/>
    <w:rsid w:val="005F3E25"/>
    <w:rsid w:val="005F4B55"/>
    <w:rsid w:val="005F5DB8"/>
    <w:rsid w:val="005F5EC9"/>
    <w:rsid w:val="005F60D3"/>
    <w:rsid w:val="005F6B71"/>
    <w:rsid w:val="005F6F8B"/>
    <w:rsid w:val="005F7169"/>
    <w:rsid w:val="005F76C3"/>
    <w:rsid w:val="00601796"/>
    <w:rsid w:val="00602927"/>
    <w:rsid w:val="006033E2"/>
    <w:rsid w:val="006036B2"/>
    <w:rsid w:val="00604434"/>
    <w:rsid w:val="0060486B"/>
    <w:rsid w:val="00604FA8"/>
    <w:rsid w:val="006050F1"/>
    <w:rsid w:val="00605260"/>
    <w:rsid w:val="006053BF"/>
    <w:rsid w:val="00605FCA"/>
    <w:rsid w:val="00606132"/>
    <w:rsid w:val="00606FF0"/>
    <w:rsid w:val="00607872"/>
    <w:rsid w:val="006106CF"/>
    <w:rsid w:val="00610B1D"/>
    <w:rsid w:val="00610E9D"/>
    <w:rsid w:val="00612F9A"/>
    <w:rsid w:val="006133EA"/>
    <w:rsid w:val="00613BA6"/>
    <w:rsid w:val="00614B5A"/>
    <w:rsid w:val="00614C18"/>
    <w:rsid w:val="00615EC1"/>
    <w:rsid w:val="006160C3"/>
    <w:rsid w:val="006163E4"/>
    <w:rsid w:val="006165D2"/>
    <w:rsid w:val="00616B63"/>
    <w:rsid w:val="0062002E"/>
    <w:rsid w:val="006203AF"/>
    <w:rsid w:val="0062166F"/>
    <w:rsid w:val="00621ED4"/>
    <w:rsid w:val="0062311A"/>
    <w:rsid w:val="006263A6"/>
    <w:rsid w:val="00626433"/>
    <w:rsid w:val="00626AD6"/>
    <w:rsid w:val="006278A7"/>
    <w:rsid w:val="00630C95"/>
    <w:rsid w:val="00630FD5"/>
    <w:rsid w:val="00633E71"/>
    <w:rsid w:val="00634936"/>
    <w:rsid w:val="00635C32"/>
    <w:rsid w:val="0063761F"/>
    <w:rsid w:val="006413A8"/>
    <w:rsid w:val="00642F98"/>
    <w:rsid w:val="0064313C"/>
    <w:rsid w:val="00643C4E"/>
    <w:rsid w:val="006442AF"/>
    <w:rsid w:val="0064448F"/>
    <w:rsid w:val="00644AF9"/>
    <w:rsid w:val="00645166"/>
    <w:rsid w:val="00646E69"/>
    <w:rsid w:val="00646EE3"/>
    <w:rsid w:val="00647441"/>
    <w:rsid w:val="00647E85"/>
    <w:rsid w:val="00650E14"/>
    <w:rsid w:val="006514AD"/>
    <w:rsid w:val="00651F63"/>
    <w:rsid w:val="0065212D"/>
    <w:rsid w:val="00652A95"/>
    <w:rsid w:val="00653B7A"/>
    <w:rsid w:val="006540D1"/>
    <w:rsid w:val="00654464"/>
    <w:rsid w:val="00654938"/>
    <w:rsid w:val="006552FB"/>
    <w:rsid w:val="0065586C"/>
    <w:rsid w:val="00655ABE"/>
    <w:rsid w:val="00657E5B"/>
    <w:rsid w:val="006617E7"/>
    <w:rsid w:val="00662DBD"/>
    <w:rsid w:val="00662F17"/>
    <w:rsid w:val="00664066"/>
    <w:rsid w:val="00664563"/>
    <w:rsid w:val="0066541E"/>
    <w:rsid w:val="00665562"/>
    <w:rsid w:val="0066583A"/>
    <w:rsid w:val="00666543"/>
    <w:rsid w:val="00666C82"/>
    <w:rsid w:val="006701D0"/>
    <w:rsid w:val="00670DCF"/>
    <w:rsid w:val="00671ED8"/>
    <w:rsid w:val="006726C0"/>
    <w:rsid w:val="00673780"/>
    <w:rsid w:val="00675555"/>
    <w:rsid w:val="0067574D"/>
    <w:rsid w:val="00676160"/>
    <w:rsid w:val="006763A6"/>
    <w:rsid w:val="006776D1"/>
    <w:rsid w:val="00677D4F"/>
    <w:rsid w:val="0068017C"/>
    <w:rsid w:val="00680DDA"/>
    <w:rsid w:val="00682AB8"/>
    <w:rsid w:val="006832E0"/>
    <w:rsid w:val="0068390E"/>
    <w:rsid w:val="00683DB9"/>
    <w:rsid w:val="006848A0"/>
    <w:rsid w:val="00685096"/>
    <w:rsid w:val="006850DD"/>
    <w:rsid w:val="0068516D"/>
    <w:rsid w:val="00685DC6"/>
    <w:rsid w:val="0068623B"/>
    <w:rsid w:val="0068693B"/>
    <w:rsid w:val="0068796B"/>
    <w:rsid w:val="006879FA"/>
    <w:rsid w:val="00687A19"/>
    <w:rsid w:val="0069084C"/>
    <w:rsid w:val="00690DE8"/>
    <w:rsid w:val="0069162A"/>
    <w:rsid w:val="006916C5"/>
    <w:rsid w:val="00691F11"/>
    <w:rsid w:val="00691F6E"/>
    <w:rsid w:val="006926AA"/>
    <w:rsid w:val="00692AF9"/>
    <w:rsid w:val="006936D1"/>
    <w:rsid w:val="00694787"/>
    <w:rsid w:val="0069517D"/>
    <w:rsid w:val="006957E7"/>
    <w:rsid w:val="0069640C"/>
    <w:rsid w:val="00696865"/>
    <w:rsid w:val="0069698D"/>
    <w:rsid w:val="006A0B96"/>
    <w:rsid w:val="006A0E39"/>
    <w:rsid w:val="006A157D"/>
    <w:rsid w:val="006A15BC"/>
    <w:rsid w:val="006A191D"/>
    <w:rsid w:val="006A22E9"/>
    <w:rsid w:val="006A24A3"/>
    <w:rsid w:val="006A30D0"/>
    <w:rsid w:val="006A4227"/>
    <w:rsid w:val="006A622D"/>
    <w:rsid w:val="006A7661"/>
    <w:rsid w:val="006A7895"/>
    <w:rsid w:val="006A7A16"/>
    <w:rsid w:val="006B0C15"/>
    <w:rsid w:val="006B0D2F"/>
    <w:rsid w:val="006B1508"/>
    <w:rsid w:val="006B205F"/>
    <w:rsid w:val="006B2E2B"/>
    <w:rsid w:val="006B35CF"/>
    <w:rsid w:val="006B3EA0"/>
    <w:rsid w:val="006B7A4D"/>
    <w:rsid w:val="006C006C"/>
    <w:rsid w:val="006C1157"/>
    <w:rsid w:val="006C1B34"/>
    <w:rsid w:val="006C1B99"/>
    <w:rsid w:val="006C1BEB"/>
    <w:rsid w:val="006C1EA2"/>
    <w:rsid w:val="006C269E"/>
    <w:rsid w:val="006C3D81"/>
    <w:rsid w:val="006C3DC5"/>
    <w:rsid w:val="006C3E77"/>
    <w:rsid w:val="006C5BDE"/>
    <w:rsid w:val="006C5D25"/>
    <w:rsid w:val="006C7034"/>
    <w:rsid w:val="006C7371"/>
    <w:rsid w:val="006C75FE"/>
    <w:rsid w:val="006C77F3"/>
    <w:rsid w:val="006D0C91"/>
    <w:rsid w:val="006D178A"/>
    <w:rsid w:val="006D17D5"/>
    <w:rsid w:val="006D2212"/>
    <w:rsid w:val="006D32EB"/>
    <w:rsid w:val="006D3E5C"/>
    <w:rsid w:val="006D45A0"/>
    <w:rsid w:val="006D4604"/>
    <w:rsid w:val="006D4BEF"/>
    <w:rsid w:val="006D540A"/>
    <w:rsid w:val="006D581B"/>
    <w:rsid w:val="006D59CC"/>
    <w:rsid w:val="006D6EE3"/>
    <w:rsid w:val="006E1E62"/>
    <w:rsid w:val="006E25C0"/>
    <w:rsid w:val="006E3156"/>
    <w:rsid w:val="006E39B2"/>
    <w:rsid w:val="006E40CF"/>
    <w:rsid w:val="006E4352"/>
    <w:rsid w:val="006E51EC"/>
    <w:rsid w:val="006E5862"/>
    <w:rsid w:val="006E5B41"/>
    <w:rsid w:val="006E76BA"/>
    <w:rsid w:val="006F076E"/>
    <w:rsid w:val="006F1C2B"/>
    <w:rsid w:val="006F2400"/>
    <w:rsid w:val="006F2967"/>
    <w:rsid w:val="006F352A"/>
    <w:rsid w:val="006F38A1"/>
    <w:rsid w:val="006F49AE"/>
    <w:rsid w:val="006F5540"/>
    <w:rsid w:val="006F5E82"/>
    <w:rsid w:val="006F729E"/>
    <w:rsid w:val="006F7611"/>
    <w:rsid w:val="006F7ACF"/>
    <w:rsid w:val="006F7EF9"/>
    <w:rsid w:val="00700835"/>
    <w:rsid w:val="0070104D"/>
    <w:rsid w:val="00702246"/>
    <w:rsid w:val="007026C1"/>
    <w:rsid w:val="00703157"/>
    <w:rsid w:val="00704592"/>
    <w:rsid w:val="00704BDD"/>
    <w:rsid w:val="00705593"/>
    <w:rsid w:val="00705BA7"/>
    <w:rsid w:val="00706902"/>
    <w:rsid w:val="0070707E"/>
    <w:rsid w:val="00707D20"/>
    <w:rsid w:val="00710DC7"/>
    <w:rsid w:val="00711AB2"/>
    <w:rsid w:val="007127FC"/>
    <w:rsid w:val="00716424"/>
    <w:rsid w:val="00717C88"/>
    <w:rsid w:val="00722776"/>
    <w:rsid w:val="007237AC"/>
    <w:rsid w:val="00724042"/>
    <w:rsid w:val="00725E39"/>
    <w:rsid w:val="00727F54"/>
    <w:rsid w:val="0073167A"/>
    <w:rsid w:val="00732095"/>
    <w:rsid w:val="007328EC"/>
    <w:rsid w:val="007330A6"/>
    <w:rsid w:val="00733E6E"/>
    <w:rsid w:val="0073435D"/>
    <w:rsid w:val="0073635C"/>
    <w:rsid w:val="007363FD"/>
    <w:rsid w:val="00736BAD"/>
    <w:rsid w:val="007373C9"/>
    <w:rsid w:val="00737543"/>
    <w:rsid w:val="00737708"/>
    <w:rsid w:val="0074056E"/>
    <w:rsid w:val="00740581"/>
    <w:rsid w:val="007406FC"/>
    <w:rsid w:val="00740809"/>
    <w:rsid w:val="00740F48"/>
    <w:rsid w:val="00741D31"/>
    <w:rsid w:val="00742055"/>
    <w:rsid w:val="00742BF5"/>
    <w:rsid w:val="00745A3F"/>
    <w:rsid w:val="0074610F"/>
    <w:rsid w:val="00746E34"/>
    <w:rsid w:val="00747C00"/>
    <w:rsid w:val="00747C40"/>
    <w:rsid w:val="00751F17"/>
    <w:rsid w:val="0075274F"/>
    <w:rsid w:val="00752825"/>
    <w:rsid w:val="00752E4A"/>
    <w:rsid w:val="00753C76"/>
    <w:rsid w:val="00753EA6"/>
    <w:rsid w:val="00753F46"/>
    <w:rsid w:val="0075453C"/>
    <w:rsid w:val="0075476D"/>
    <w:rsid w:val="00754C5F"/>
    <w:rsid w:val="00754EC0"/>
    <w:rsid w:val="0075537F"/>
    <w:rsid w:val="00756DE1"/>
    <w:rsid w:val="007610B1"/>
    <w:rsid w:val="00761592"/>
    <w:rsid w:val="00762006"/>
    <w:rsid w:val="007636C6"/>
    <w:rsid w:val="00764E10"/>
    <w:rsid w:val="00765D70"/>
    <w:rsid w:val="007663A4"/>
    <w:rsid w:val="00766C47"/>
    <w:rsid w:val="007678FE"/>
    <w:rsid w:val="00767919"/>
    <w:rsid w:val="00767C29"/>
    <w:rsid w:val="007708B2"/>
    <w:rsid w:val="00773EE2"/>
    <w:rsid w:val="007742F0"/>
    <w:rsid w:val="00774652"/>
    <w:rsid w:val="00774943"/>
    <w:rsid w:val="00774D7A"/>
    <w:rsid w:val="00776BDC"/>
    <w:rsid w:val="00777922"/>
    <w:rsid w:val="007802FC"/>
    <w:rsid w:val="00780D7C"/>
    <w:rsid w:val="007812C1"/>
    <w:rsid w:val="00781BE8"/>
    <w:rsid w:val="00781E63"/>
    <w:rsid w:val="0078399F"/>
    <w:rsid w:val="00783C85"/>
    <w:rsid w:val="007846A8"/>
    <w:rsid w:val="0078501F"/>
    <w:rsid w:val="007864AC"/>
    <w:rsid w:val="00786A41"/>
    <w:rsid w:val="00787A98"/>
    <w:rsid w:val="00787BEA"/>
    <w:rsid w:val="00787F8A"/>
    <w:rsid w:val="00790762"/>
    <w:rsid w:val="00790E5B"/>
    <w:rsid w:val="00790F88"/>
    <w:rsid w:val="007932EF"/>
    <w:rsid w:val="0079370C"/>
    <w:rsid w:val="00793A53"/>
    <w:rsid w:val="007946BC"/>
    <w:rsid w:val="00794F65"/>
    <w:rsid w:val="007954A2"/>
    <w:rsid w:val="00795E32"/>
    <w:rsid w:val="00795F62"/>
    <w:rsid w:val="007A122C"/>
    <w:rsid w:val="007A3727"/>
    <w:rsid w:val="007A517D"/>
    <w:rsid w:val="007A5354"/>
    <w:rsid w:val="007A57C1"/>
    <w:rsid w:val="007A69BD"/>
    <w:rsid w:val="007A7019"/>
    <w:rsid w:val="007A7AA4"/>
    <w:rsid w:val="007B0058"/>
    <w:rsid w:val="007B0304"/>
    <w:rsid w:val="007B0672"/>
    <w:rsid w:val="007B2446"/>
    <w:rsid w:val="007B2FB5"/>
    <w:rsid w:val="007B5392"/>
    <w:rsid w:val="007B53E8"/>
    <w:rsid w:val="007B6103"/>
    <w:rsid w:val="007B6114"/>
    <w:rsid w:val="007B64D1"/>
    <w:rsid w:val="007B6E5E"/>
    <w:rsid w:val="007B7010"/>
    <w:rsid w:val="007B78BB"/>
    <w:rsid w:val="007B7B59"/>
    <w:rsid w:val="007B7B6A"/>
    <w:rsid w:val="007B7CE7"/>
    <w:rsid w:val="007C0523"/>
    <w:rsid w:val="007C0C0B"/>
    <w:rsid w:val="007C20BD"/>
    <w:rsid w:val="007C2AEB"/>
    <w:rsid w:val="007C31CD"/>
    <w:rsid w:val="007C487A"/>
    <w:rsid w:val="007C598D"/>
    <w:rsid w:val="007C639C"/>
    <w:rsid w:val="007C7846"/>
    <w:rsid w:val="007D0873"/>
    <w:rsid w:val="007D0C98"/>
    <w:rsid w:val="007D2264"/>
    <w:rsid w:val="007D324B"/>
    <w:rsid w:val="007D3E71"/>
    <w:rsid w:val="007D50F2"/>
    <w:rsid w:val="007D5486"/>
    <w:rsid w:val="007D5C03"/>
    <w:rsid w:val="007D7105"/>
    <w:rsid w:val="007E00BD"/>
    <w:rsid w:val="007E1072"/>
    <w:rsid w:val="007E130B"/>
    <w:rsid w:val="007E17CB"/>
    <w:rsid w:val="007E2EEF"/>
    <w:rsid w:val="007E4E4C"/>
    <w:rsid w:val="007E5966"/>
    <w:rsid w:val="007E6690"/>
    <w:rsid w:val="007E68F3"/>
    <w:rsid w:val="007E6DB0"/>
    <w:rsid w:val="007F050F"/>
    <w:rsid w:val="007F0770"/>
    <w:rsid w:val="007F0A27"/>
    <w:rsid w:val="007F0EEB"/>
    <w:rsid w:val="007F2567"/>
    <w:rsid w:val="007F275C"/>
    <w:rsid w:val="007F27E5"/>
    <w:rsid w:val="007F2B34"/>
    <w:rsid w:val="007F33ED"/>
    <w:rsid w:val="007F58C9"/>
    <w:rsid w:val="007F6DFD"/>
    <w:rsid w:val="007F740E"/>
    <w:rsid w:val="007F75AA"/>
    <w:rsid w:val="0080108B"/>
    <w:rsid w:val="008010CF"/>
    <w:rsid w:val="00802029"/>
    <w:rsid w:val="00802689"/>
    <w:rsid w:val="00802AE5"/>
    <w:rsid w:val="00802B3D"/>
    <w:rsid w:val="00802C9F"/>
    <w:rsid w:val="008043C9"/>
    <w:rsid w:val="00806362"/>
    <w:rsid w:val="00807F56"/>
    <w:rsid w:val="00810B00"/>
    <w:rsid w:val="00811270"/>
    <w:rsid w:val="00811FEB"/>
    <w:rsid w:val="008122E1"/>
    <w:rsid w:val="008123A1"/>
    <w:rsid w:val="008127EE"/>
    <w:rsid w:val="00812C47"/>
    <w:rsid w:val="008147E3"/>
    <w:rsid w:val="00816791"/>
    <w:rsid w:val="00816D64"/>
    <w:rsid w:val="008170D6"/>
    <w:rsid w:val="00817A98"/>
    <w:rsid w:val="00820263"/>
    <w:rsid w:val="0082031D"/>
    <w:rsid w:val="00820B93"/>
    <w:rsid w:val="008225E7"/>
    <w:rsid w:val="00823DCD"/>
    <w:rsid w:val="008241E6"/>
    <w:rsid w:val="00824811"/>
    <w:rsid w:val="00825191"/>
    <w:rsid w:val="00826012"/>
    <w:rsid w:val="008269D9"/>
    <w:rsid w:val="00827186"/>
    <w:rsid w:val="00827A6C"/>
    <w:rsid w:val="00827B00"/>
    <w:rsid w:val="00827FEA"/>
    <w:rsid w:val="0083034D"/>
    <w:rsid w:val="00831562"/>
    <w:rsid w:val="00831A48"/>
    <w:rsid w:val="0083242D"/>
    <w:rsid w:val="0083266D"/>
    <w:rsid w:val="00833137"/>
    <w:rsid w:val="00833206"/>
    <w:rsid w:val="0083445F"/>
    <w:rsid w:val="008344A7"/>
    <w:rsid w:val="00834BBF"/>
    <w:rsid w:val="00836250"/>
    <w:rsid w:val="00837876"/>
    <w:rsid w:val="008407E1"/>
    <w:rsid w:val="0084125B"/>
    <w:rsid w:val="00841BA5"/>
    <w:rsid w:val="00842866"/>
    <w:rsid w:val="00842C1C"/>
    <w:rsid w:val="00843C58"/>
    <w:rsid w:val="00844B87"/>
    <w:rsid w:val="00844CF3"/>
    <w:rsid w:val="00845549"/>
    <w:rsid w:val="00846780"/>
    <w:rsid w:val="00846ABB"/>
    <w:rsid w:val="00846C67"/>
    <w:rsid w:val="00847522"/>
    <w:rsid w:val="00847594"/>
    <w:rsid w:val="0084767A"/>
    <w:rsid w:val="00850739"/>
    <w:rsid w:val="00851765"/>
    <w:rsid w:val="00851D2F"/>
    <w:rsid w:val="00851ED0"/>
    <w:rsid w:val="008526A9"/>
    <w:rsid w:val="00852E1E"/>
    <w:rsid w:val="00853891"/>
    <w:rsid w:val="0085546A"/>
    <w:rsid w:val="008558C8"/>
    <w:rsid w:val="00855AFF"/>
    <w:rsid w:val="00856DC3"/>
    <w:rsid w:val="00856E5E"/>
    <w:rsid w:val="0085722E"/>
    <w:rsid w:val="00860C08"/>
    <w:rsid w:val="00860DF4"/>
    <w:rsid w:val="008615A4"/>
    <w:rsid w:val="00861DA9"/>
    <w:rsid w:val="00861E1B"/>
    <w:rsid w:val="00862004"/>
    <w:rsid w:val="008629C3"/>
    <w:rsid w:val="00864472"/>
    <w:rsid w:val="0086596E"/>
    <w:rsid w:val="008660D2"/>
    <w:rsid w:val="008662A4"/>
    <w:rsid w:val="00866347"/>
    <w:rsid w:val="0086742B"/>
    <w:rsid w:val="00867DDF"/>
    <w:rsid w:val="0087094D"/>
    <w:rsid w:val="008713B1"/>
    <w:rsid w:val="00871417"/>
    <w:rsid w:val="00871A44"/>
    <w:rsid w:val="00871C0D"/>
    <w:rsid w:val="00872EAF"/>
    <w:rsid w:val="008731C5"/>
    <w:rsid w:val="008745EE"/>
    <w:rsid w:val="0087474C"/>
    <w:rsid w:val="00874D6A"/>
    <w:rsid w:val="00875C78"/>
    <w:rsid w:val="008775EE"/>
    <w:rsid w:val="00877F47"/>
    <w:rsid w:val="00880507"/>
    <w:rsid w:val="00880AB8"/>
    <w:rsid w:val="00880F2D"/>
    <w:rsid w:val="00881607"/>
    <w:rsid w:val="00881AFF"/>
    <w:rsid w:val="008832C2"/>
    <w:rsid w:val="0088334C"/>
    <w:rsid w:val="0088384D"/>
    <w:rsid w:val="00883D9F"/>
    <w:rsid w:val="00883F2A"/>
    <w:rsid w:val="00884727"/>
    <w:rsid w:val="00886A39"/>
    <w:rsid w:val="00886A79"/>
    <w:rsid w:val="0088755B"/>
    <w:rsid w:val="00887DED"/>
    <w:rsid w:val="00890717"/>
    <w:rsid w:val="00890E23"/>
    <w:rsid w:val="00891AA3"/>
    <w:rsid w:val="00892323"/>
    <w:rsid w:val="00892B58"/>
    <w:rsid w:val="00893282"/>
    <w:rsid w:val="00893620"/>
    <w:rsid w:val="00893D1F"/>
    <w:rsid w:val="00895FAE"/>
    <w:rsid w:val="00896463"/>
    <w:rsid w:val="0089687E"/>
    <w:rsid w:val="008968B6"/>
    <w:rsid w:val="00896F5E"/>
    <w:rsid w:val="008970BF"/>
    <w:rsid w:val="008A33FA"/>
    <w:rsid w:val="008A3800"/>
    <w:rsid w:val="008A3D53"/>
    <w:rsid w:val="008A3D9F"/>
    <w:rsid w:val="008A500B"/>
    <w:rsid w:val="008A61E8"/>
    <w:rsid w:val="008A61EE"/>
    <w:rsid w:val="008A63FC"/>
    <w:rsid w:val="008A79C5"/>
    <w:rsid w:val="008B002E"/>
    <w:rsid w:val="008B0C4E"/>
    <w:rsid w:val="008B20ED"/>
    <w:rsid w:val="008B311B"/>
    <w:rsid w:val="008B51C5"/>
    <w:rsid w:val="008B5DF7"/>
    <w:rsid w:val="008B6844"/>
    <w:rsid w:val="008B768E"/>
    <w:rsid w:val="008C0A4F"/>
    <w:rsid w:val="008C0D65"/>
    <w:rsid w:val="008C1ACD"/>
    <w:rsid w:val="008C1ED8"/>
    <w:rsid w:val="008C21E7"/>
    <w:rsid w:val="008C32FC"/>
    <w:rsid w:val="008C480A"/>
    <w:rsid w:val="008C488F"/>
    <w:rsid w:val="008C49C8"/>
    <w:rsid w:val="008C4C6D"/>
    <w:rsid w:val="008C5288"/>
    <w:rsid w:val="008C61CE"/>
    <w:rsid w:val="008C7B2E"/>
    <w:rsid w:val="008C7F66"/>
    <w:rsid w:val="008D3189"/>
    <w:rsid w:val="008D47FE"/>
    <w:rsid w:val="008D4965"/>
    <w:rsid w:val="008D4C3E"/>
    <w:rsid w:val="008D622C"/>
    <w:rsid w:val="008D6A36"/>
    <w:rsid w:val="008D7A5A"/>
    <w:rsid w:val="008E0895"/>
    <w:rsid w:val="008E19D8"/>
    <w:rsid w:val="008E37A0"/>
    <w:rsid w:val="008E42F9"/>
    <w:rsid w:val="008E4C5B"/>
    <w:rsid w:val="008E6047"/>
    <w:rsid w:val="008E6736"/>
    <w:rsid w:val="008E75FE"/>
    <w:rsid w:val="008E796C"/>
    <w:rsid w:val="008F098B"/>
    <w:rsid w:val="008F1EC8"/>
    <w:rsid w:val="008F2329"/>
    <w:rsid w:val="008F28EB"/>
    <w:rsid w:val="008F2BDF"/>
    <w:rsid w:val="008F2DB8"/>
    <w:rsid w:val="008F2F9A"/>
    <w:rsid w:val="008F43DC"/>
    <w:rsid w:val="008F5098"/>
    <w:rsid w:val="008F61B3"/>
    <w:rsid w:val="0090010A"/>
    <w:rsid w:val="0090045E"/>
    <w:rsid w:val="009007F9"/>
    <w:rsid w:val="00900B42"/>
    <w:rsid w:val="0090108C"/>
    <w:rsid w:val="00902310"/>
    <w:rsid w:val="009034BB"/>
    <w:rsid w:val="00903A9B"/>
    <w:rsid w:val="00905A88"/>
    <w:rsid w:val="00906378"/>
    <w:rsid w:val="00907AD3"/>
    <w:rsid w:val="009102FA"/>
    <w:rsid w:val="0091032D"/>
    <w:rsid w:val="0091132A"/>
    <w:rsid w:val="00912B2B"/>
    <w:rsid w:val="00913638"/>
    <w:rsid w:val="00913F96"/>
    <w:rsid w:val="009142F8"/>
    <w:rsid w:val="009160FA"/>
    <w:rsid w:val="00917261"/>
    <w:rsid w:val="00920390"/>
    <w:rsid w:val="009205F6"/>
    <w:rsid w:val="00920BA3"/>
    <w:rsid w:val="009211C9"/>
    <w:rsid w:val="00921409"/>
    <w:rsid w:val="00921FB3"/>
    <w:rsid w:val="0092249C"/>
    <w:rsid w:val="0092376A"/>
    <w:rsid w:val="0092387E"/>
    <w:rsid w:val="00923BA6"/>
    <w:rsid w:val="0092509C"/>
    <w:rsid w:val="00925324"/>
    <w:rsid w:val="009256D0"/>
    <w:rsid w:val="00925713"/>
    <w:rsid w:val="00925B1A"/>
    <w:rsid w:val="00925C63"/>
    <w:rsid w:val="00925EEB"/>
    <w:rsid w:val="00925F07"/>
    <w:rsid w:val="00925F67"/>
    <w:rsid w:val="009261FC"/>
    <w:rsid w:val="00926CD9"/>
    <w:rsid w:val="0092747E"/>
    <w:rsid w:val="00927576"/>
    <w:rsid w:val="0092760C"/>
    <w:rsid w:val="00927D3B"/>
    <w:rsid w:val="009303EC"/>
    <w:rsid w:val="009324DA"/>
    <w:rsid w:val="00932B19"/>
    <w:rsid w:val="009332B1"/>
    <w:rsid w:val="00934138"/>
    <w:rsid w:val="00934295"/>
    <w:rsid w:val="00934872"/>
    <w:rsid w:val="00934D32"/>
    <w:rsid w:val="009353A3"/>
    <w:rsid w:val="00936452"/>
    <w:rsid w:val="00936D2A"/>
    <w:rsid w:val="0094039A"/>
    <w:rsid w:val="0094054E"/>
    <w:rsid w:val="00940A87"/>
    <w:rsid w:val="00940AEF"/>
    <w:rsid w:val="009416CF"/>
    <w:rsid w:val="00941D92"/>
    <w:rsid w:val="00941F16"/>
    <w:rsid w:val="009427ED"/>
    <w:rsid w:val="00942B51"/>
    <w:rsid w:val="00943318"/>
    <w:rsid w:val="00943AFE"/>
    <w:rsid w:val="00943DC9"/>
    <w:rsid w:val="00943E94"/>
    <w:rsid w:val="00943EF0"/>
    <w:rsid w:val="00944AE3"/>
    <w:rsid w:val="00945212"/>
    <w:rsid w:val="0094548D"/>
    <w:rsid w:val="0094657A"/>
    <w:rsid w:val="00946666"/>
    <w:rsid w:val="009467A5"/>
    <w:rsid w:val="009469A1"/>
    <w:rsid w:val="00947034"/>
    <w:rsid w:val="009472DB"/>
    <w:rsid w:val="00947BB4"/>
    <w:rsid w:val="00950338"/>
    <w:rsid w:val="009506B1"/>
    <w:rsid w:val="00950712"/>
    <w:rsid w:val="009512EB"/>
    <w:rsid w:val="00951939"/>
    <w:rsid w:val="00951AAE"/>
    <w:rsid w:val="009521F9"/>
    <w:rsid w:val="00952AF2"/>
    <w:rsid w:val="00952BA6"/>
    <w:rsid w:val="00952ECD"/>
    <w:rsid w:val="00953875"/>
    <w:rsid w:val="009543A3"/>
    <w:rsid w:val="00954C38"/>
    <w:rsid w:val="009553B7"/>
    <w:rsid w:val="0095700B"/>
    <w:rsid w:val="009576A1"/>
    <w:rsid w:val="00960B7C"/>
    <w:rsid w:val="009613A2"/>
    <w:rsid w:val="0096146D"/>
    <w:rsid w:val="0096182C"/>
    <w:rsid w:val="0096374C"/>
    <w:rsid w:val="009637BB"/>
    <w:rsid w:val="009650E2"/>
    <w:rsid w:val="009651FD"/>
    <w:rsid w:val="00965965"/>
    <w:rsid w:val="00966367"/>
    <w:rsid w:val="0096718F"/>
    <w:rsid w:val="0097011F"/>
    <w:rsid w:val="00971BFA"/>
    <w:rsid w:val="0097275D"/>
    <w:rsid w:val="00973FE6"/>
    <w:rsid w:val="00974FC6"/>
    <w:rsid w:val="00975179"/>
    <w:rsid w:val="00975774"/>
    <w:rsid w:val="0097622B"/>
    <w:rsid w:val="009768E2"/>
    <w:rsid w:val="00976C54"/>
    <w:rsid w:val="009771D0"/>
    <w:rsid w:val="009772CE"/>
    <w:rsid w:val="00977CEE"/>
    <w:rsid w:val="009818C7"/>
    <w:rsid w:val="009823E2"/>
    <w:rsid w:val="009823F6"/>
    <w:rsid w:val="0098278F"/>
    <w:rsid w:val="00982907"/>
    <w:rsid w:val="009835B5"/>
    <w:rsid w:val="00983F5B"/>
    <w:rsid w:val="009840F8"/>
    <w:rsid w:val="00984498"/>
    <w:rsid w:val="00984540"/>
    <w:rsid w:val="00984B5B"/>
    <w:rsid w:val="00984E84"/>
    <w:rsid w:val="00985253"/>
    <w:rsid w:val="009854A4"/>
    <w:rsid w:val="00985A5E"/>
    <w:rsid w:val="00986028"/>
    <w:rsid w:val="00987146"/>
    <w:rsid w:val="00987E3A"/>
    <w:rsid w:val="00991C07"/>
    <w:rsid w:val="00991E78"/>
    <w:rsid w:val="0099271A"/>
    <w:rsid w:val="00992A85"/>
    <w:rsid w:val="00994FA1"/>
    <w:rsid w:val="00995408"/>
    <w:rsid w:val="009954A0"/>
    <w:rsid w:val="00995F57"/>
    <w:rsid w:val="00996E07"/>
    <w:rsid w:val="00997793"/>
    <w:rsid w:val="00997E0F"/>
    <w:rsid w:val="009A067B"/>
    <w:rsid w:val="009A07AD"/>
    <w:rsid w:val="009A190C"/>
    <w:rsid w:val="009A1B0F"/>
    <w:rsid w:val="009A1CC1"/>
    <w:rsid w:val="009A1EFF"/>
    <w:rsid w:val="009A28B4"/>
    <w:rsid w:val="009A36C0"/>
    <w:rsid w:val="009A3F39"/>
    <w:rsid w:val="009A605A"/>
    <w:rsid w:val="009B010A"/>
    <w:rsid w:val="009B02F6"/>
    <w:rsid w:val="009B061C"/>
    <w:rsid w:val="009B06DA"/>
    <w:rsid w:val="009B24F9"/>
    <w:rsid w:val="009B2AF3"/>
    <w:rsid w:val="009B3442"/>
    <w:rsid w:val="009B4DDD"/>
    <w:rsid w:val="009B66D5"/>
    <w:rsid w:val="009C0FB3"/>
    <w:rsid w:val="009C14D1"/>
    <w:rsid w:val="009C19D3"/>
    <w:rsid w:val="009C2CBB"/>
    <w:rsid w:val="009C4268"/>
    <w:rsid w:val="009C6425"/>
    <w:rsid w:val="009C6678"/>
    <w:rsid w:val="009C667E"/>
    <w:rsid w:val="009C683C"/>
    <w:rsid w:val="009C6F4D"/>
    <w:rsid w:val="009C7C67"/>
    <w:rsid w:val="009D03A5"/>
    <w:rsid w:val="009D0DE2"/>
    <w:rsid w:val="009D1800"/>
    <w:rsid w:val="009D24D8"/>
    <w:rsid w:val="009D379A"/>
    <w:rsid w:val="009D3AD3"/>
    <w:rsid w:val="009D3BB2"/>
    <w:rsid w:val="009D4D66"/>
    <w:rsid w:val="009D5016"/>
    <w:rsid w:val="009D70A7"/>
    <w:rsid w:val="009D7762"/>
    <w:rsid w:val="009D7814"/>
    <w:rsid w:val="009E0206"/>
    <w:rsid w:val="009E058F"/>
    <w:rsid w:val="009E1B81"/>
    <w:rsid w:val="009E1DE8"/>
    <w:rsid w:val="009E2705"/>
    <w:rsid w:val="009E2D12"/>
    <w:rsid w:val="009E31BC"/>
    <w:rsid w:val="009E33E2"/>
    <w:rsid w:val="009E4A05"/>
    <w:rsid w:val="009E4C20"/>
    <w:rsid w:val="009E4EFD"/>
    <w:rsid w:val="009E5894"/>
    <w:rsid w:val="009E6503"/>
    <w:rsid w:val="009E67BA"/>
    <w:rsid w:val="009E7E58"/>
    <w:rsid w:val="009F03C2"/>
    <w:rsid w:val="009F0768"/>
    <w:rsid w:val="009F1176"/>
    <w:rsid w:val="009F16FF"/>
    <w:rsid w:val="009F1B47"/>
    <w:rsid w:val="009F1FE5"/>
    <w:rsid w:val="009F37D5"/>
    <w:rsid w:val="009F3AE3"/>
    <w:rsid w:val="009F3E4C"/>
    <w:rsid w:val="009F4705"/>
    <w:rsid w:val="009F48AF"/>
    <w:rsid w:val="009F4A91"/>
    <w:rsid w:val="009F4A98"/>
    <w:rsid w:val="009F4B6F"/>
    <w:rsid w:val="009F51C4"/>
    <w:rsid w:val="009F62DA"/>
    <w:rsid w:val="009F77D9"/>
    <w:rsid w:val="00A01520"/>
    <w:rsid w:val="00A01E80"/>
    <w:rsid w:val="00A021F1"/>
    <w:rsid w:val="00A02961"/>
    <w:rsid w:val="00A02973"/>
    <w:rsid w:val="00A02E9B"/>
    <w:rsid w:val="00A03370"/>
    <w:rsid w:val="00A04171"/>
    <w:rsid w:val="00A04352"/>
    <w:rsid w:val="00A04405"/>
    <w:rsid w:val="00A04BFB"/>
    <w:rsid w:val="00A04EDA"/>
    <w:rsid w:val="00A062D9"/>
    <w:rsid w:val="00A06458"/>
    <w:rsid w:val="00A07207"/>
    <w:rsid w:val="00A078E4"/>
    <w:rsid w:val="00A10329"/>
    <w:rsid w:val="00A10E20"/>
    <w:rsid w:val="00A10FF0"/>
    <w:rsid w:val="00A11344"/>
    <w:rsid w:val="00A12F06"/>
    <w:rsid w:val="00A13769"/>
    <w:rsid w:val="00A15374"/>
    <w:rsid w:val="00A1644C"/>
    <w:rsid w:val="00A17758"/>
    <w:rsid w:val="00A2004B"/>
    <w:rsid w:val="00A20A78"/>
    <w:rsid w:val="00A20C3D"/>
    <w:rsid w:val="00A21407"/>
    <w:rsid w:val="00A214FA"/>
    <w:rsid w:val="00A21580"/>
    <w:rsid w:val="00A21F12"/>
    <w:rsid w:val="00A22611"/>
    <w:rsid w:val="00A22F15"/>
    <w:rsid w:val="00A248D9"/>
    <w:rsid w:val="00A255E1"/>
    <w:rsid w:val="00A25712"/>
    <w:rsid w:val="00A26624"/>
    <w:rsid w:val="00A27DE6"/>
    <w:rsid w:val="00A30B8E"/>
    <w:rsid w:val="00A3149A"/>
    <w:rsid w:val="00A31DD0"/>
    <w:rsid w:val="00A321DD"/>
    <w:rsid w:val="00A324C0"/>
    <w:rsid w:val="00A32A9F"/>
    <w:rsid w:val="00A333E0"/>
    <w:rsid w:val="00A33CDA"/>
    <w:rsid w:val="00A347EC"/>
    <w:rsid w:val="00A35ACE"/>
    <w:rsid w:val="00A36499"/>
    <w:rsid w:val="00A371A7"/>
    <w:rsid w:val="00A4073F"/>
    <w:rsid w:val="00A40EBF"/>
    <w:rsid w:val="00A41823"/>
    <w:rsid w:val="00A41A39"/>
    <w:rsid w:val="00A41E3B"/>
    <w:rsid w:val="00A45DE0"/>
    <w:rsid w:val="00A45E10"/>
    <w:rsid w:val="00A46584"/>
    <w:rsid w:val="00A475AE"/>
    <w:rsid w:val="00A47D98"/>
    <w:rsid w:val="00A54059"/>
    <w:rsid w:val="00A552F0"/>
    <w:rsid w:val="00A55F0D"/>
    <w:rsid w:val="00A56B0F"/>
    <w:rsid w:val="00A60AB6"/>
    <w:rsid w:val="00A60CBD"/>
    <w:rsid w:val="00A61C00"/>
    <w:rsid w:val="00A62090"/>
    <w:rsid w:val="00A63BD5"/>
    <w:rsid w:val="00A649D1"/>
    <w:rsid w:val="00A67625"/>
    <w:rsid w:val="00A67A51"/>
    <w:rsid w:val="00A73643"/>
    <w:rsid w:val="00A738EA"/>
    <w:rsid w:val="00A75D6B"/>
    <w:rsid w:val="00A77A03"/>
    <w:rsid w:val="00A804FB"/>
    <w:rsid w:val="00A80770"/>
    <w:rsid w:val="00A81564"/>
    <w:rsid w:val="00A81AB2"/>
    <w:rsid w:val="00A81D7A"/>
    <w:rsid w:val="00A82541"/>
    <w:rsid w:val="00A82784"/>
    <w:rsid w:val="00A8279A"/>
    <w:rsid w:val="00A833CD"/>
    <w:rsid w:val="00A84D36"/>
    <w:rsid w:val="00A84F24"/>
    <w:rsid w:val="00A85B73"/>
    <w:rsid w:val="00A87161"/>
    <w:rsid w:val="00A87CB9"/>
    <w:rsid w:val="00A918AC"/>
    <w:rsid w:val="00A9279E"/>
    <w:rsid w:val="00A92C6F"/>
    <w:rsid w:val="00A93EDE"/>
    <w:rsid w:val="00A94DF2"/>
    <w:rsid w:val="00A95BA1"/>
    <w:rsid w:val="00A95CF1"/>
    <w:rsid w:val="00A96573"/>
    <w:rsid w:val="00A96634"/>
    <w:rsid w:val="00A97316"/>
    <w:rsid w:val="00A97FFB"/>
    <w:rsid w:val="00AA0E6C"/>
    <w:rsid w:val="00AA11C5"/>
    <w:rsid w:val="00AA2905"/>
    <w:rsid w:val="00AA29ED"/>
    <w:rsid w:val="00AA3561"/>
    <w:rsid w:val="00AA35C7"/>
    <w:rsid w:val="00AA4B4F"/>
    <w:rsid w:val="00AA4E52"/>
    <w:rsid w:val="00AA533E"/>
    <w:rsid w:val="00AA5593"/>
    <w:rsid w:val="00AA6016"/>
    <w:rsid w:val="00AA715D"/>
    <w:rsid w:val="00AB01A7"/>
    <w:rsid w:val="00AB12EA"/>
    <w:rsid w:val="00AB1729"/>
    <w:rsid w:val="00AB1813"/>
    <w:rsid w:val="00AB1A5C"/>
    <w:rsid w:val="00AB1EA9"/>
    <w:rsid w:val="00AB2881"/>
    <w:rsid w:val="00AB37AD"/>
    <w:rsid w:val="00AB3A14"/>
    <w:rsid w:val="00AB43A4"/>
    <w:rsid w:val="00AB4555"/>
    <w:rsid w:val="00AB47D6"/>
    <w:rsid w:val="00AB6C23"/>
    <w:rsid w:val="00AB6D55"/>
    <w:rsid w:val="00AB7215"/>
    <w:rsid w:val="00AB7B39"/>
    <w:rsid w:val="00AB7D75"/>
    <w:rsid w:val="00AC06BF"/>
    <w:rsid w:val="00AC1402"/>
    <w:rsid w:val="00AC201C"/>
    <w:rsid w:val="00AC79AD"/>
    <w:rsid w:val="00AD0D47"/>
    <w:rsid w:val="00AD2AC4"/>
    <w:rsid w:val="00AD481C"/>
    <w:rsid w:val="00AD5C16"/>
    <w:rsid w:val="00AD5E50"/>
    <w:rsid w:val="00AE1B0C"/>
    <w:rsid w:val="00AE2A65"/>
    <w:rsid w:val="00AE2C2F"/>
    <w:rsid w:val="00AE30E9"/>
    <w:rsid w:val="00AE459A"/>
    <w:rsid w:val="00AE4D7A"/>
    <w:rsid w:val="00AE5BC3"/>
    <w:rsid w:val="00AE6E9D"/>
    <w:rsid w:val="00AE7255"/>
    <w:rsid w:val="00AF0BB4"/>
    <w:rsid w:val="00AF0D40"/>
    <w:rsid w:val="00AF1E66"/>
    <w:rsid w:val="00AF1E8E"/>
    <w:rsid w:val="00AF39C7"/>
    <w:rsid w:val="00AF3B45"/>
    <w:rsid w:val="00AF3FE9"/>
    <w:rsid w:val="00AF4029"/>
    <w:rsid w:val="00AF4839"/>
    <w:rsid w:val="00AF65A0"/>
    <w:rsid w:val="00AF6754"/>
    <w:rsid w:val="00AF7C6C"/>
    <w:rsid w:val="00AF7EE5"/>
    <w:rsid w:val="00B00583"/>
    <w:rsid w:val="00B011BC"/>
    <w:rsid w:val="00B02582"/>
    <w:rsid w:val="00B0381F"/>
    <w:rsid w:val="00B053B2"/>
    <w:rsid w:val="00B05BA8"/>
    <w:rsid w:val="00B06202"/>
    <w:rsid w:val="00B06700"/>
    <w:rsid w:val="00B06D32"/>
    <w:rsid w:val="00B10007"/>
    <w:rsid w:val="00B105DC"/>
    <w:rsid w:val="00B126F7"/>
    <w:rsid w:val="00B13B13"/>
    <w:rsid w:val="00B13B30"/>
    <w:rsid w:val="00B152ED"/>
    <w:rsid w:val="00B15565"/>
    <w:rsid w:val="00B15E15"/>
    <w:rsid w:val="00B16949"/>
    <w:rsid w:val="00B17CCD"/>
    <w:rsid w:val="00B2029C"/>
    <w:rsid w:val="00B223D1"/>
    <w:rsid w:val="00B225D1"/>
    <w:rsid w:val="00B22730"/>
    <w:rsid w:val="00B23945"/>
    <w:rsid w:val="00B23978"/>
    <w:rsid w:val="00B23A6F"/>
    <w:rsid w:val="00B23AD3"/>
    <w:rsid w:val="00B24481"/>
    <w:rsid w:val="00B2498A"/>
    <w:rsid w:val="00B25A35"/>
    <w:rsid w:val="00B25C08"/>
    <w:rsid w:val="00B26F15"/>
    <w:rsid w:val="00B278AB"/>
    <w:rsid w:val="00B3060F"/>
    <w:rsid w:val="00B309CD"/>
    <w:rsid w:val="00B319C4"/>
    <w:rsid w:val="00B320DF"/>
    <w:rsid w:val="00B334E1"/>
    <w:rsid w:val="00B335F8"/>
    <w:rsid w:val="00B33EC6"/>
    <w:rsid w:val="00B340B9"/>
    <w:rsid w:val="00B341ED"/>
    <w:rsid w:val="00B346EF"/>
    <w:rsid w:val="00B35AD0"/>
    <w:rsid w:val="00B36602"/>
    <w:rsid w:val="00B3757C"/>
    <w:rsid w:val="00B37794"/>
    <w:rsid w:val="00B40356"/>
    <w:rsid w:val="00B41482"/>
    <w:rsid w:val="00B418EB"/>
    <w:rsid w:val="00B422C1"/>
    <w:rsid w:val="00B43F75"/>
    <w:rsid w:val="00B440AA"/>
    <w:rsid w:val="00B46866"/>
    <w:rsid w:val="00B46BAB"/>
    <w:rsid w:val="00B47216"/>
    <w:rsid w:val="00B47C2A"/>
    <w:rsid w:val="00B47E72"/>
    <w:rsid w:val="00B501B8"/>
    <w:rsid w:val="00B504B7"/>
    <w:rsid w:val="00B50FF7"/>
    <w:rsid w:val="00B513D0"/>
    <w:rsid w:val="00B513D1"/>
    <w:rsid w:val="00B53B04"/>
    <w:rsid w:val="00B54A09"/>
    <w:rsid w:val="00B559F4"/>
    <w:rsid w:val="00B56E30"/>
    <w:rsid w:val="00B575D1"/>
    <w:rsid w:val="00B576A5"/>
    <w:rsid w:val="00B57A96"/>
    <w:rsid w:val="00B57FB6"/>
    <w:rsid w:val="00B63109"/>
    <w:rsid w:val="00B64D9B"/>
    <w:rsid w:val="00B66D11"/>
    <w:rsid w:val="00B7041C"/>
    <w:rsid w:val="00B70552"/>
    <w:rsid w:val="00B7110D"/>
    <w:rsid w:val="00B7196E"/>
    <w:rsid w:val="00B71B84"/>
    <w:rsid w:val="00B73692"/>
    <w:rsid w:val="00B74D1D"/>
    <w:rsid w:val="00B751A1"/>
    <w:rsid w:val="00B7598F"/>
    <w:rsid w:val="00B76547"/>
    <w:rsid w:val="00B76E5F"/>
    <w:rsid w:val="00B77D4E"/>
    <w:rsid w:val="00B77F66"/>
    <w:rsid w:val="00B803DA"/>
    <w:rsid w:val="00B80E54"/>
    <w:rsid w:val="00B812DE"/>
    <w:rsid w:val="00B82129"/>
    <w:rsid w:val="00B833FB"/>
    <w:rsid w:val="00B83F7D"/>
    <w:rsid w:val="00B84D95"/>
    <w:rsid w:val="00B84F90"/>
    <w:rsid w:val="00B8577F"/>
    <w:rsid w:val="00B85F90"/>
    <w:rsid w:val="00B85FF6"/>
    <w:rsid w:val="00B863BA"/>
    <w:rsid w:val="00B8682E"/>
    <w:rsid w:val="00B87E86"/>
    <w:rsid w:val="00B90B72"/>
    <w:rsid w:val="00B91011"/>
    <w:rsid w:val="00B9125E"/>
    <w:rsid w:val="00B915AC"/>
    <w:rsid w:val="00B92E1B"/>
    <w:rsid w:val="00B9334A"/>
    <w:rsid w:val="00B946B4"/>
    <w:rsid w:val="00B95127"/>
    <w:rsid w:val="00B95236"/>
    <w:rsid w:val="00B95406"/>
    <w:rsid w:val="00B95704"/>
    <w:rsid w:val="00B9612F"/>
    <w:rsid w:val="00B973D1"/>
    <w:rsid w:val="00B97896"/>
    <w:rsid w:val="00B97C49"/>
    <w:rsid w:val="00B97E0C"/>
    <w:rsid w:val="00BA22CD"/>
    <w:rsid w:val="00BA2AAF"/>
    <w:rsid w:val="00BA364A"/>
    <w:rsid w:val="00BA375B"/>
    <w:rsid w:val="00BA4280"/>
    <w:rsid w:val="00BA537D"/>
    <w:rsid w:val="00BA5BF9"/>
    <w:rsid w:val="00BA64E9"/>
    <w:rsid w:val="00BA7BAA"/>
    <w:rsid w:val="00BB13E3"/>
    <w:rsid w:val="00BB15CD"/>
    <w:rsid w:val="00BB17EF"/>
    <w:rsid w:val="00BB2510"/>
    <w:rsid w:val="00BB353B"/>
    <w:rsid w:val="00BB357C"/>
    <w:rsid w:val="00BB3B8E"/>
    <w:rsid w:val="00BB3D03"/>
    <w:rsid w:val="00BB5647"/>
    <w:rsid w:val="00BB594C"/>
    <w:rsid w:val="00BB6F17"/>
    <w:rsid w:val="00BB74C7"/>
    <w:rsid w:val="00BB7CB0"/>
    <w:rsid w:val="00BC0011"/>
    <w:rsid w:val="00BC1887"/>
    <w:rsid w:val="00BC2472"/>
    <w:rsid w:val="00BC3518"/>
    <w:rsid w:val="00BC3787"/>
    <w:rsid w:val="00BC3AF6"/>
    <w:rsid w:val="00BC50AE"/>
    <w:rsid w:val="00BC526E"/>
    <w:rsid w:val="00BC5C08"/>
    <w:rsid w:val="00BC5E90"/>
    <w:rsid w:val="00BC6D82"/>
    <w:rsid w:val="00BD0BD1"/>
    <w:rsid w:val="00BD114B"/>
    <w:rsid w:val="00BD1794"/>
    <w:rsid w:val="00BD2169"/>
    <w:rsid w:val="00BD4DF3"/>
    <w:rsid w:val="00BD4FAB"/>
    <w:rsid w:val="00BD5149"/>
    <w:rsid w:val="00BD5284"/>
    <w:rsid w:val="00BD5A1A"/>
    <w:rsid w:val="00BD78C8"/>
    <w:rsid w:val="00BD793A"/>
    <w:rsid w:val="00BE071B"/>
    <w:rsid w:val="00BE1713"/>
    <w:rsid w:val="00BE362A"/>
    <w:rsid w:val="00BE46A8"/>
    <w:rsid w:val="00BF0A79"/>
    <w:rsid w:val="00BF223E"/>
    <w:rsid w:val="00BF2E12"/>
    <w:rsid w:val="00BF5EAB"/>
    <w:rsid w:val="00BF73D6"/>
    <w:rsid w:val="00C00054"/>
    <w:rsid w:val="00C01950"/>
    <w:rsid w:val="00C0276D"/>
    <w:rsid w:val="00C02CED"/>
    <w:rsid w:val="00C02F9C"/>
    <w:rsid w:val="00C03822"/>
    <w:rsid w:val="00C07632"/>
    <w:rsid w:val="00C1084D"/>
    <w:rsid w:val="00C10A12"/>
    <w:rsid w:val="00C10C5A"/>
    <w:rsid w:val="00C10D13"/>
    <w:rsid w:val="00C11103"/>
    <w:rsid w:val="00C119E5"/>
    <w:rsid w:val="00C12234"/>
    <w:rsid w:val="00C12BD9"/>
    <w:rsid w:val="00C12F16"/>
    <w:rsid w:val="00C134BA"/>
    <w:rsid w:val="00C14CC4"/>
    <w:rsid w:val="00C15877"/>
    <w:rsid w:val="00C15D63"/>
    <w:rsid w:val="00C15F06"/>
    <w:rsid w:val="00C1673A"/>
    <w:rsid w:val="00C16A98"/>
    <w:rsid w:val="00C2033B"/>
    <w:rsid w:val="00C2135C"/>
    <w:rsid w:val="00C219DB"/>
    <w:rsid w:val="00C21B39"/>
    <w:rsid w:val="00C22190"/>
    <w:rsid w:val="00C23576"/>
    <w:rsid w:val="00C2531B"/>
    <w:rsid w:val="00C25A56"/>
    <w:rsid w:val="00C25BEE"/>
    <w:rsid w:val="00C2611D"/>
    <w:rsid w:val="00C2639B"/>
    <w:rsid w:val="00C3018D"/>
    <w:rsid w:val="00C30A8A"/>
    <w:rsid w:val="00C30AB3"/>
    <w:rsid w:val="00C30C17"/>
    <w:rsid w:val="00C311DF"/>
    <w:rsid w:val="00C31B4C"/>
    <w:rsid w:val="00C31B61"/>
    <w:rsid w:val="00C31C7F"/>
    <w:rsid w:val="00C31FA4"/>
    <w:rsid w:val="00C3292D"/>
    <w:rsid w:val="00C33A90"/>
    <w:rsid w:val="00C33D20"/>
    <w:rsid w:val="00C347C3"/>
    <w:rsid w:val="00C34DF8"/>
    <w:rsid w:val="00C3519D"/>
    <w:rsid w:val="00C3570C"/>
    <w:rsid w:val="00C35E2A"/>
    <w:rsid w:val="00C35EEA"/>
    <w:rsid w:val="00C36105"/>
    <w:rsid w:val="00C409A6"/>
    <w:rsid w:val="00C40D3F"/>
    <w:rsid w:val="00C430CC"/>
    <w:rsid w:val="00C43406"/>
    <w:rsid w:val="00C43C79"/>
    <w:rsid w:val="00C445DC"/>
    <w:rsid w:val="00C44BA5"/>
    <w:rsid w:val="00C45216"/>
    <w:rsid w:val="00C45CA9"/>
    <w:rsid w:val="00C468F3"/>
    <w:rsid w:val="00C50CEE"/>
    <w:rsid w:val="00C51246"/>
    <w:rsid w:val="00C51597"/>
    <w:rsid w:val="00C51683"/>
    <w:rsid w:val="00C516CB"/>
    <w:rsid w:val="00C523A5"/>
    <w:rsid w:val="00C52D40"/>
    <w:rsid w:val="00C538C4"/>
    <w:rsid w:val="00C5425E"/>
    <w:rsid w:val="00C55602"/>
    <w:rsid w:val="00C56197"/>
    <w:rsid w:val="00C56385"/>
    <w:rsid w:val="00C56CE7"/>
    <w:rsid w:val="00C56EFE"/>
    <w:rsid w:val="00C608E0"/>
    <w:rsid w:val="00C622AE"/>
    <w:rsid w:val="00C63EDF"/>
    <w:rsid w:val="00C6539A"/>
    <w:rsid w:val="00C6547D"/>
    <w:rsid w:val="00C659E5"/>
    <w:rsid w:val="00C65DA9"/>
    <w:rsid w:val="00C67CBA"/>
    <w:rsid w:val="00C70140"/>
    <w:rsid w:val="00C72965"/>
    <w:rsid w:val="00C72BA4"/>
    <w:rsid w:val="00C73B61"/>
    <w:rsid w:val="00C73F92"/>
    <w:rsid w:val="00C7412F"/>
    <w:rsid w:val="00C74339"/>
    <w:rsid w:val="00C74612"/>
    <w:rsid w:val="00C75C16"/>
    <w:rsid w:val="00C76451"/>
    <w:rsid w:val="00C771DB"/>
    <w:rsid w:val="00C819DE"/>
    <w:rsid w:val="00C81B42"/>
    <w:rsid w:val="00C82CBA"/>
    <w:rsid w:val="00C843A0"/>
    <w:rsid w:val="00C84DFE"/>
    <w:rsid w:val="00C84EE5"/>
    <w:rsid w:val="00C855FB"/>
    <w:rsid w:val="00C85674"/>
    <w:rsid w:val="00C8658B"/>
    <w:rsid w:val="00C9010C"/>
    <w:rsid w:val="00C90E3E"/>
    <w:rsid w:val="00C9188F"/>
    <w:rsid w:val="00C9318B"/>
    <w:rsid w:val="00C93646"/>
    <w:rsid w:val="00C93CDE"/>
    <w:rsid w:val="00C947B8"/>
    <w:rsid w:val="00C94948"/>
    <w:rsid w:val="00C949E8"/>
    <w:rsid w:val="00C94C47"/>
    <w:rsid w:val="00C9549C"/>
    <w:rsid w:val="00C96554"/>
    <w:rsid w:val="00C971BA"/>
    <w:rsid w:val="00CA04CC"/>
    <w:rsid w:val="00CA0A4E"/>
    <w:rsid w:val="00CA1222"/>
    <w:rsid w:val="00CA17F8"/>
    <w:rsid w:val="00CA1B46"/>
    <w:rsid w:val="00CA328D"/>
    <w:rsid w:val="00CA3682"/>
    <w:rsid w:val="00CA399C"/>
    <w:rsid w:val="00CA3AD1"/>
    <w:rsid w:val="00CA4670"/>
    <w:rsid w:val="00CA4F76"/>
    <w:rsid w:val="00CA5098"/>
    <w:rsid w:val="00CA5CB3"/>
    <w:rsid w:val="00CA65AA"/>
    <w:rsid w:val="00CA694D"/>
    <w:rsid w:val="00CA6EB4"/>
    <w:rsid w:val="00CA6F17"/>
    <w:rsid w:val="00CA77DE"/>
    <w:rsid w:val="00CB065A"/>
    <w:rsid w:val="00CB1D8A"/>
    <w:rsid w:val="00CB1F37"/>
    <w:rsid w:val="00CB27DB"/>
    <w:rsid w:val="00CB37C2"/>
    <w:rsid w:val="00CB40E0"/>
    <w:rsid w:val="00CB4A2C"/>
    <w:rsid w:val="00CB7D24"/>
    <w:rsid w:val="00CC1A31"/>
    <w:rsid w:val="00CC2CA3"/>
    <w:rsid w:val="00CC3021"/>
    <w:rsid w:val="00CC31DC"/>
    <w:rsid w:val="00CC328E"/>
    <w:rsid w:val="00CC37F6"/>
    <w:rsid w:val="00CC384C"/>
    <w:rsid w:val="00CC496E"/>
    <w:rsid w:val="00CC49BA"/>
    <w:rsid w:val="00CC5785"/>
    <w:rsid w:val="00CC6820"/>
    <w:rsid w:val="00CC6C45"/>
    <w:rsid w:val="00CD1052"/>
    <w:rsid w:val="00CD1191"/>
    <w:rsid w:val="00CD1268"/>
    <w:rsid w:val="00CD13C6"/>
    <w:rsid w:val="00CD14B4"/>
    <w:rsid w:val="00CD1D99"/>
    <w:rsid w:val="00CD2111"/>
    <w:rsid w:val="00CD218F"/>
    <w:rsid w:val="00CD2BAF"/>
    <w:rsid w:val="00CD2DAB"/>
    <w:rsid w:val="00CD337F"/>
    <w:rsid w:val="00CD3CA8"/>
    <w:rsid w:val="00CD4F60"/>
    <w:rsid w:val="00CE0250"/>
    <w:rsid w:val="00CE0665"/>
    <w:rsid w:val="00CE0F4D"/>
    <w:rsid w:val="00CE16DF"/>
    <w:rsid w:val="00CE24D3"/>
    <w:rsid w:val="00CE2C7B"/>
    <w:rsid w:val="00CE2CC9"/>
    <w:rsid w:val="00CE3221"/>
    <w:rsid w:val="00CE62CB"/>
    <w:rsid w:val="00CE7431"/>
    <w:rsid w:val="00CF0C34"/>
    <w:rsid w:val="00CF4047"/>
    <w:rsid w:val="00CF4209"/>
    <w:rsid w:val="00CF4E06"/>
    <w:rsid w:val="00CF5E27"/>
    <w:rsid w:val="00CF79F5"/>
    <w:rsid w:val="00D005A6"/>
    <w:rsid w:val="00D005F0"/>
    <w:rsid w:val="00D00C45"/>
    <w:rsid w:val="00D01908"/>
    <w:rsid w:val="00D0196C"/>
    <w:rsid w:val="00D01BDF"/>
    <w:rsid w:val="00D02A5C"/>
    <w:rsid w:val="00D03ACB"/>
    <w:rsid w:val="00D03DA7"/>
    <w:rsid w:val="00D0498D"/>
    <w:rsid w:val="00D0577F"/>
    <w:rsid w:val="00D058B6"/>
    <w:rsid w:val="00D05C57"/>
    <w:rsid w:val="00D064FB"/>
    <w:rsid w:val="00D06DB6"/>
    <w:rsid w:val="00D079A7"/>
    <w:rsid w:val="00D079F7"/>
    <w:rsid w:val="00D07C9D"/>
    <w:rsid w:val="00D07E0E"/>
    <w:rsid w:val="00D10572"/>
    <w:rsid w:val="00D10D64"/>
    <w:rsid w:val="00D13595"/>
    <w:rsid w:val="00D1392E"/>
    <w:rsid w:val="00D1444F"/>
    <w:rsid w:val="00D14E86"/>
    <w:rsid w:val="00D14F76"/>
    <w:rsid w:val="00D153E2"/>
    <w:rsid w:val="00D1558E"/>
    <w:rsid w:val="00D20B57"/>
    <w:rsid w:val="00D20C5E"/>
    <w:rsid w:val="00D20D43"/>
    <w:rsid w:val="00D21C33"/>
    <w:rsid w:val="00D21CCE"/>
    <w:rsid w:val="00D24E27"/>
    <w:rsid w:val="00D24E98"/>
    <w:rsid w:val="00D24FBE"/>
    <w:rsid w:val="00D26AD8"/>
    <w:rsid w:val="00D26FAB"/>
    <w:rsid w:val="00D27742"/>
    <w:rsid w:val="00D27F5C"/>
    <w:rsid w:val="00D30032"/>
    <w:rsid w:val="00D30324"/>
    <w:rsid w:val="00D30CE3"/>
    <w:rsid w:val="00D31227"/>
    <w:rsid w:val="00D3181E"/>
    <w:rsid w:val="00D31C29"/>
    <w:rsid w:val="00D31EA4"/>
    <w:rsid w:val="00D32114"/>
    <w:rsid w:val="00D32D73"/>
    <w:rsid w:val="00D3431F"/>
    <w:rsid w:val="00D34A50"/>
    <w:rsid w:val="00D35CFF"/>
    <w:rsid w:val="00D36DC2"/>
    <w:rsid w:val="00D37D30"/>
    <w:rsid w:val="00D400C2"/>
    <w:rsid w:val="00D409FE"/>
    <w:rsid w:val="00D418A6"/>
    <w:rsid w:val="00D41DF1"/>
    <w:rsid w:val="00D4332C"/>
    <w:rsid w:val="00D43BD5"/>
    <w:rsid w:val="00D4421A"/>
    <w:rsid w:val="00D445F5"/>
    <w:rsid w:val="00D44E05"/>
    <w:rsid w:val="00D457C0"/>
    <w:rsid w:val="00D45824"/>
    <w:rsid w:val="00D45F2C"/>
    <w:rsid w:val="00D473FD"/>
    <w:rsid w:val="00D51669"/>
    <w:rsid w:val="00D517D5"/>
    <w:rsid w:val="00D5269B"/>
    <w:rsid w:val="00D52E1F"/>
    <w:rsid w:val="00D53F8D"/>
    <w:rsid w:val="00D550A8"/>
    <w:rsid w:val="00D55542"/>
    <w:rsid w:val="00D559E1"/>
    <w:rsid w:val="00D55FD3"/>
    <w:rsid w:val="00D56EA5"/>
    <w:rsid w:val="00D56F37"/>
    <w:rsid w:val="00D572F6"/>
    <w:rsid w:val="00D606DE"/>
    <w:rsid w:val="00D61060"/>
    <w:rsid w:val="00D61374"/>
    <w:rsid w:val="00D623D2"/>
    <w:rsid w:val="00D6263C"/>
    <w:rsid w:val="00D62B7F"/>
    <w:rsid w:val="00D62C04"/>
    <w:rsid w:val="00D63D41"/>
    <w:rsid w:val="00D6544E"/>
    <w:rsid w:val="00D65A88"/>
    <w:rsid w:val="00D66607"/>
    <w:rsid w:val="00D675FD"/>
    <w:rsid w:val="00D700CD"/>
    <w:rsid w:val="00D70A0A"/>
    <w:rsid w:val="00D7165E"/>
    <w:rsid w:val="00D7191C"/>
    <w:rsid w:val="00D71DC6"/>
    <w:rsid w:val="00D71EBB"/>
    <w:rsid w:val="00D72A5A"/>
    <w:rsid w:val="00D72F75"/>
    <w:rsid w:val="00D7610E"/>
    <w:rsid w:val="00D8044F"/>
    <w:rsid w:val="00D808B3"/>
    <w:rsid w:val="00D8153E"/>
    <w:rsid w:val="00D81630"/>
    <w:rsid w:val="00D81F6A"/>
    <w:rsid w:val="00D828C8"/>
    <w:rsid w:val="00D8307E"/>
    <w:rsid w:val="00D85124"/>
    <w:rsid w:val="00D85B30"/>
    <w:rsid w:val="00D86607"/>
    <w:rsid w:val="00D866D6"/>
    <w:rsid w:val="00D87D48"/>
    <w:rsid w:val="00D9002D"/>
    <w:rsid w:val="00D904AF"/>
    <w:rsid w:val="00D9081B"/>
    <w:rsid w:val="00D915CA"/>
    <w:rsid w:val="00D92870"/>
    <w:rsid w:val="00D93817"/>
    <w:rsid w:val="00D93F57"/>
    <w:rsid w:val="00D947EB"/>
    <w:rsid w:val="00D95B8F"/>
    <w:rsid w:val="00D95D23"/>
    <w:rsid w:val="00D96AF5"/>
    <w:rsid w:val="00D97E5B"/>
    <w:rsid w:val="00DA0283"/>
    <w:rsid w:val="00DA064A"/>
    <w:rsid w:val="00DA065E"/>
    <w:rsid w:val="00DA08F9"/>
    <w:rsid w:val="00DA1751"/>
    <w:rsid w:val="00DA29AB"/>
    <w:rsid w:val="00DA2B8E"/>
    <w:rsid w:val="00DA3109"/>
    <w:rsid w:val="00DA3E9C"/>
    <w:rsid w:val="00DA3F8A"/>
    <w:rsid w:val="00DA4051"/>
    <w:rsid w:val="00DA4170"/>
    <w:rsid w:val="00DA49CF"/>
    <w:rsid w:val="00DA54A1"/>
    <w:rsid w:val="00DA5977"/>
    <w:rsid w:val="00DA5F95"/>
    <w:rsid w:val="00DA6245"/>
    <w:rsid w:val="00DA6F6F"/>
    <w:rsid w:val="00DA729F"/>
    <w:rsid w:val="00DA737D"/>
    <w:rsid w:val="00DA76A8"/>
    <w:rsid w:val="00DB26E6"/>
    <w:rsid w:val="00DB38CE"/>
    <w:rsid w:val="00DB48F7"/>
    <w:rsid w:val="00DB4AC0"/>
    <w:rsid w:val="00DB4DC2"/>
    <w:rsid w:val="00DB571D"/>
    <w:rsid w:val="00DB634E"/>
    <w:rsid w:val="00DB72C2"/>
    <w:rsid w:val="00DB7508"/>
    <w:rsid w:val="00DB772A"/>
    <w:rsid w:val="00DB7D57"/>
    <w:rsid w:val="00DC0053"/>
    <w:rsid w:val="00DC0AC7"/>
    <w:rsid w:val="00DC2428"/>
    <w:rsid w:val="00DC2758"/>
    <w:rsid w:val="00DC2E54"/>
    <w:rsid w:val="00DC4157"/>
    <w:rsid w:val="00DC43CF"/>
    <w:rsid w:val="00DC526E"/>
    <w:rsid w:val="00DC5545"/>
    <w:rsid w:val="00DC65FD"/>
    <w:rsid w:val="00DC690B"/>
    <w:rsid w:val="00DC6AD6"/>
    <w:rsid w:val="00DC6B1D"/>
    <w:rsid w:val="00DC6B2D"/>
    <w:rsid w:val="00DC6C06"/>
    <w:rsid w:val="00DC6D5A"/>
    <w:rsid w:val="00DC7655"/>
    <w:rsid w:val="00DC7C47"/>
    <w:rsid w:val="00DD02E1"/>
    <w:rsid w:val="00DD234F"/>
    <w:rsid w:val="00DD2352"/>
    <w:rsid w:val="00DD2B5A"/>
    <w:rsid w:val="00DD2FAB"/>
    <w:rsid w:val="00DD365C"/>
    <w:rsid w:val="00DD423D"/>
    <w:rsid w:val="00DD4268"/>
    <w:rsid w:val="00DD57DD"/>
    <w:rsid w:val="00DD5AA1"/>
    <w:rsid w:val="00DD5B81"/>
    <w:rsid w:val="00DD609D"/>
    <w:rsid w:val="00DD61DA"/>
    <w:rsid w:val="00DD6776"/>
    <w:rsid w:val="00DD6C1C"/>
    <w:rsid w:val="00DD733F"/>
    <w:rsid w:val="00DD743D"/>
    <w:rsid w:val="00DD74F9"/>
    <w:rsid w:val="00DE1972"/>
    <w:rsid w:val="00DE292E"/>
    <w:rsid w:val="00DE294D"/>
    <w:rsid w:val="00DE30A3"/>
    <w:rsid w:val="00DE4604"/>
    <w:rsid w:val="00DE4B21"/>
    <w:rsid w:val="00DE511D"/>
    <w:rsid w:val="00DE54D1"/>
    <w:rsid w:val="00DE59C4"/>
    <w:rsid w:val="00DF020A"/>
    <w:rsid w:val="00DF0216"/>
    <w:rsid w:val="00DF14B1"/>
    <w:rsid w:val="00DF1E5E"/>
    <w:rsid w:val="00DF283F"/>
    <w:rsid w:val="00DF32EF"/>
    <w:rsid w:val="00DF49FE"/>
    <w:rsid w:val="00DF52FB"/>
    <w:rsid w:val="00DF53AB"/>
    <w:rsid w:val="00DF6401"/>
    <w:rsid w:val="00DF6D14"/>
    <w:rsid w:val="00DF70FA"/>
    <w:rsid w:val="00DF7954"/>
    <w:rsid w:val="00E00E2A"/>
    <w:rsid w:val="00E016A1"/>
    <w:rsid w:val="00E01A9C"/>
    <w:rsid w:val="00E01EE3"/>
    <w:rsid w:val="00E0292B"/>
    <w:rsid w:val="00E02ACF"/>
    <w:rsid w:val="00E02F40"/>
    <w:rsid w:val="00E03683"/>
    <w:rsid w:val="00E036E6"/>
    <w:rsid w:val="00E039AD"/>
    <w:rsid w:val="00E04A6E"/>
    <w:rsid w:val="00E05C25"/>
    <w:rsid w:val="00E067B4"/>
    <w:rsid w:val="00E0771B"/>
    <w:rsid w:val="00E1190C"/>
    <w:rsid w:val="00E126B2"/>
    <w:rsid w:val="00E12F6B"/>
    <w:rsid w:val="00E13477"/>
    <w:rsid w:val="00E13816"/>
    <w:rsid w:val="00E13A00"/>
    <w:rsid w:val="00E13F3A"/>
    <w:rsid w:val="00E143B3"/>
    <w:rsid w:val="00E151B0"/>
    <w:rsid w:val="00E151F1"/>
    <w:rsid w:val="00E2068A"/>
    <w:rsid w:val="00E21EFD"/>
    <w:rsid w:val="00E222F9"/>
    <w:rsid w:val="00E23919"/>
    <w:rsid w:val="00E2391D"/>
    <w:rsid w:val="00E24853"/>
    <w:rsid w:val="00E24EB7"/>
    <w:rsid w:val="00E25F0D"/>
    <w:rsid w:val="00E26202"/>
    <w:rsid w:val="00E26EC5"/>
    <w:rsid w:val="00E275AF"/>
    <w:rsid w:val="00E27BD2"/>
    <w:rsid w:val="00E27E29"/>
    <w:rsid w:val="00E30389"/>
    <w:rsid w:val="00E30D28"/>
    <w:rsid w:val="00E31229"/>
    <w:rsid w:val="00E31910"/>
    <w:rsid w:val="00E3259F"/>
    <w:rsid w:val="00E32A50"/>
    <w:rsid w:val="00E32E0F"/>
    <w:rsid w:val="00E33014"/>
    <w:rsid w:val="00E33300"/>
    <w:rsid w:val="00E366C1"/>
    <w:rsid w:val="00E37837"/>
    <w:rsid w:val="00E37EAC"/>
    <w:rsid w:val="00E402A0"/>
    <w:rsid w:val="00E40C3C"/>
    <w:rsid w:val="00E40D3F"/>
    <w:rsid w:val="00E43289"/>
    <w:rsid w:val="00E440A4"/>
    <w:rsid w:val="00E440EC"/>
    <w:rsid w:val="00E442E2"/>
    <w:rsid w:val="00E443AE"/>
    <w:rsid w:val="00E44891"/>
    <w:rsid w:val="00E44BCE"/>
    <w:rsid w:val="00E45738"/>
    <w:rsid w:val="00E46392"/>
    <w:rsid w:val="00E467F2"/>
    <w:rsid w:val="00E46B46"/>
    <w:rsid w:val="00E46DAA"/>
    <w:rsid w:val="00E51531"/>
    <w:rsid w:val="00E52FED"/>
    <w:rsid w:val="00E530A4"/>
    <w:rsid w:val="00E533A4"/>
    <w:rsid w:val="00E53BB7"/>
    <w:rsid w:val="00E54151"/>
    <w:rsid w:val="00E541D6"/>
    <w:rsid w:val="00E541EF"/>
    <w:rsid w:val="00E55A0F"/>
    <w:rsid w:val="00E55BF0"/>
    <w:rsid w:val="00E56084"/>
    <w:rsid w:val="00E62901"/>
    <w:rsid w:val="00E63E32"/>
    <w:rsid w:val="00E64A7E"/>
    <w:rsid w:val="00E6590A"/>
    <w:rsid w:val="00E65DF9"/>
    <w:rsid w:val="00E66BCF"/>
    <w:rsid w:val="00E7070A"/>
    <w:rsid w:val="00E7186B"/>
    <w:rsid w:val="00E73D40"/>
    <w:rsid w:val="00E74FFC"/>
    <w:rsid w:val="00E758BB"/>
    <w:rsid w:val="00E759BD"/>
    <w:rsid w:val="00E764F5"/>
    <w:rsid w:val="00E76A03"/>
    <w:rsid w:val="00E76E64"/>
    <w:rsid w:val="00E76FEC"/>
    <w:rsid w:val="00E816B4"/>
    <w:rsid w:val="00E820BE"/>
    <w:rsid w:val="00E8288B"/>
    <w:rsid w:val="00E839FD"/>
    <w:rsid w:val="00E83B59"/>
    <w:rsid w:val="00E84089"/>
    <w:rsid w:val="00E84BDE"/>
    <w:rsid w:val="00E85DDB"/>
    <w:rsid w:val="00E86152"/>
    <w:rsid w:val="00E86328"/>
    <w:rsid w:val="00E86492"/>
    <w:rsid w:val="00E86DBE"/>
    <w:rsid w:val="00E91977"/>
    <w:rsid w:val="00E91C2D"/>
    <w:rsid w:val="00E925F3"/>
    <w:rsid w:val="00E92753"/>
    <w:rsid w:val="00E92D32"/>
    <w:rsid w:val="00E93474"/>
    <w:rsid w:val="00E93752"/>
    <w:rsid w:val="00E940FA"/>
    <w:rsid w:val="00E94F51"/>
    <w:rsid w:val="00E96046"/>
    <w:rsid w:val="00E96748"/>
    <w:rsid w:val="00E96D25"/>
    <w:rsid w:val="00E96F65"/>
    <w:rsid w:val="00E97617"/>
    <w:rsid w:val="00E97751"/>
    <w:rsid w:val="00E97AE0"/>
    <w:rsid w:val="00EA23B1"/>
    <w:rsid w:val="00EA258A"/>
    <w:rsid w:val="00EA2E90"/>
    <w:rsid w:val="00EA2EE4"/>
    <w:rsid w:val="00EA4145"/>
    <w:rsid w:val="00EA4356"/>
    <w:rsid w:val="00EA5B7F"/>
    <w:rsid w:val="00EA6A64"/>
    <w:rsid w:val="00EA6E9A"/>
    <w:rsid w:val="00EA7B1D"/>
    <w:rsid w:val="00EA7BD1"/>
    <w:rsid w:val="00EA7EF8"/>
    <w:rsid w:val="00EB0EE8"/>
    <w:rsid w:val="00EB389A"/>
    <w:rsid w:val="00EB44A4"/>
    <w:rsid w:val="00EB5091"/>
    <w:rsid w:val="00EB51DE"/>
    <w:rsid w:val="00EB5CF5"/>
    <w:rsid w:val="00EB5D4C"/>
    <w:rsid w:val="00EB6306"/>
    <w:rsid w:val="00EB65C4"/>
    <w:rsid w:val="00EC1DE6"/>
    <w:rsid w:val="00EC1F7E"/>
    <w:rsid w:val="00EC2FA5"/>
    <w:rsid w:val="00EC39C8"/>
    <w:rsid w:val="00EC74DF"/>
    <w:rsid w:val="00EC7934"/>
    <w:rsid w:val="00ED047F"/>
    <w:rsid w:val="00ED04E0"/>
    <w:rsid w:val="00ED0C12"/>
    <w:rsid w:val="00ED1570"/>
    <w:rsid w:val="00ED1A05"/>
    <w:rsid w:val="00ED1ADA"/>
    <w:rsid w:val="00ED1D77"/>
    <w:rsid w:val="00ED259F"/>
    <w:rsid w:val="00ED2C6D"/>
    <w:rsid w:val="00ED357A"/>
    <w:rsid w:val="00ED4CE1"/>
    <w:rsid w:val="00ED51DB"/>
    <w:rsid w:val="00ED640F"/>
    <w:rsid w:val="00ED74B3"/>
    <w:rsid w:val="00ED7DAD"/>
    <w:rsid w:val="00EE001E"/>
    <w:rsid w:val="00EE0605"/>
    <w:rsid w:val="00EE2EDA"/>
    <w:rsid w:val="00EE4A96"/>
    <w:rsid w:val="00EE53B2"/>
    <w:rsid w:val="00EE7432"/>
    <w:rsid w:val="00EF1890"/>
    <w:rsid w:val="00EF1C7C"/>
    <w:rsid w:val="00EF2587"/>
    <w:rsid w:val="00EF40DD"/>
    <w:rsid w:val="00EF4B53"/>
    <w:rsid w:val="00EF533E"/>
    <w:rsid w:val="00EF6060"/>
    <w:rsid w:val="00F0042F"/>
    <w:rsid w:val="00F01F88"/>
    <w:rsid w:val="00F02042"/>
    <w:rsid w:val="00F035D3"/>
    <w:rsid w:val="00F035E5"/>
    <w:rsid w:val="00F03CF9"/>
    <w:rsid w:val="00F05B8C"/>
    <w:rsid w:val="00F06B33"/>
    <w:rsid w:val="00F1098D"/>
    <w:rsid w:val="00F10990"/>
    <w:rsid w:val="00F10ACF"/>
    <w:rsid w:val="00F11670"/>
    <w:rsid w:val="00F119CF"/>
    <w:rsid w:val="00F11C63"/>
    <w:rsid w:val="00F11E56"/>
    <w:rsid w:val="00F11EF4"/>
    <w:rsid w:val="00F14F05"/>
    <w:rsid w:val="00F150E3"/>
    <w:rsid w:val="00F15925"/>
    <w:rsid w:val="00F16166"/>
    <w:rsid w:val="00F16986"/>
    <w:rsid w:val="00F17D9E"/>
    <w:rsid w:val="00F17F94"/>
    <w:rsid w:val="00F20FD0"/>
    <w:rsid w:val="00F219BA"/>
    <w:rsid w:val="00F2278B"/>
    <w:rsid w:val="00F24173"/>
    <w:rsid w:val="00F2519D"/>
    <w:rsid w:val="00F25D6B"/>
    <w:rsid w:val="00F25E42"/>
    <w:rsid w:val="00F26069"/>
    <w:rsid w:val="00F264F0"/>
    <w:rsid w:val="00F27275"/>
    <w:rsid w:val="00F27839"/>
    <w:rsid w:val="00F278AF"/>
    <w:rsid w:val="00F279FC"/>
    <w:rsid w:val="00F3020F"/>
    <w:rsid w:val="00F30330"/>
    <w:rsid w:val="00F308C6"/>
    <w:rsid w:val="00F30958"/>
    <w:rsid w:val="00F30E14"/>
    <w:rsid w:val="00F31349"/>
    <w:rsid w:val="00F31368"/>
    <w:rsid w:val="00F3150F"/>
    <w:rsid w:val="00F31544"/>
    <w:rsid w:val="00F31804"/>
    <w:rsid w:val="00F3269E"/>
    <w:rsid w:val="00F32D79"/>
    <w:rsid w:val="00F361C5"/>
    <w:rsid w:val="00F361E9"/>
    <w:rsid w:val="00F40862"/>
    <w:rsid w:val="00F40F17"/>
    <w:rsid w:val="00F41CB9"/>
    <w:rsid w:val="00F41CCB"/>
    <w:rsid w:val="00F43011"/>
    <w:rsid w:val="00F43191"/>
    <w:rsid w:val="00F43955"/>
    <w:rsid w:val="00F44C27"/>
    <w:rsid w:val="00F45A61"/>
    <w:rsid w:val="00F465F8"/>
    <w:rsid w:val="00F46608"/>
    <w:rsid w:val="00F468FC"/>
    <w:rsid w:val="00F46E8A"/>
    <w:rsid w:val="00F47584"/>
    <w:rsid w:val="00F47619"/>
    <w:rsid w:val="00F4795C"/>
    <w:rsid w:val="00F50181"/>
    <w:rsid w:val="00F505D0"/>
    <w:rsid w:val="00F50F55"/>
    <w:rsid w:val="00F5127F"/>
    <w:rsid w:val="00F5133A"/>
    <w:rsid w:val="00F51D40"/>
    <w:rsid w:val="00F51EBC"/>
    <w:rsid w:val="00F53370"/>
    <w:rsid w:val="00F54889"/>
    <w:rsid w:val="00F55070"/>
    <w:rsid w:val="00F55877"/>
    <w:rsid w:val="00F559FC"/>
    <w:rsid w:val="00F57FA3"/>
    <w:rsid w:val="00F609FC"/>
    <w:rsid w:val="00F60BDA"/>
    <w:rsid w:val="00F61149"/>
    <w:rsid w:val="00F61CFD"/>
    <w:rsid w:val="00F63541"/>
    <w:rsid w:val="00F64206"/>
    <w:rsid w:val="00F64462"/>
    <w:rsid w:val="00F6479A"/>
    <w:rsid w:val="00F6522C"/>
    <w:rsid w:val="00F6532E"/>
    <w:rsid w:val="00F65AF5"/>
    <w:rsid w:val="00F672E4"/>
    <w:rsid w:val="00F705F7"/>
    <w:rsid w:val="00F70B99"/>
    <w:rsid w:val="00F70D8A"/>
    <w:rsid w:val="00F73440"/>
    <w:rsid w:val="00F747E9"/>
    <w:rsid w:val="00F75361"/>
    <w:rsid w:val="00F75BA8"/>
    <w:rsid w:val="00F76243"/>
    <w:rsid w:val="00F76AF4"/>
    <w:rsid w:val="00F7720D"/>
    <w:rsid w:val="00F779A6"/>
    <w:rsid w:val="00F80A6A"/>
    <w:rsid w:val="00F81D2A"/>
    <w:rsid w:val="00F81F75"/>
    <w:rsid w:val="00F81FDC"/>
    <w:rsid w:val="00F82519"/>
    <w:rsid w:val="00F8252D"/>
    <w:rsid w:val="00F832F5"/>
    <w:rsid w:val="00F84407"/>
    <w:rsid w:val="00F844B3"/>
    <w:rsid w:val="00F856C7"/>
    <w:rsid w:val="00F85C79"/>
    <w:rsid w:val="00F861A2"/>
    <w:rsid w:val="00F879B2"/>
    <w:rsid w:val="00F903F1"/>
    <w:rsid w:val="00F913C2"/>
    <w:rsid w:val="00F91956"/>
    <w:rsid w:val="00F91C64"/>
    <w:rsid w:val="00F91CF4"/>
    <w:rsid w:val="00F91EB0"/>
    <w:rsid w:val="00F91F66"/>
    <w:rsid w:val="00F922A1"/>
    <w:rsid w:val="00F93D1E"/>
    <w:rsid w:val="00F93F0C"/>
    <w:rsid w:val="00F94C9E"/>
    <w:rsid w:val="00F94F5F"/>
    <w:rsid w:val="00F94F7A"/>
    <w:rsid w:val="00FA0B07"/>
    <w:rsid w:val="00FA0F61"/>
    <w:rsid w:val="00FA13BB"/>
    <w:rsid w:val="00FA1A3E"/>
    <w:rsid w:val="00FA21E4"/>
    <w:rsid w:val="00FA22CE"/>
    <w:rsid w:val="00FA2B39"/>
    <w:rsid w:val="00FA3644"/>
    <w:rsid w:val="00FA419A"/>
    <w:rsid w:val="00FA464C"/>
    <w:rsid w:val="00FA4872"/>
    <w:rsid w:val="00FA4F50"/>
    <w:rsid w:val="00FB0C45"/>
    <w:rsid w:val="00FB0D7F"/>
    <w:rsid w:val="00FB124C"/>
    <w:rsid w:val="00FB1990"/>
    <w:rsid w:val="00FB1AE3"/>
    <w:rsid w:val="00FB4BB4"/>
    <w:rsid w:val="00FB5025"/>
    <w:rsid w:val="00FB6609"/>
    <w:rsid w:val="00FB707E"/>
    <w:rsid w:val="00FB70E4"/>
    <w:rsid w:val="00FB7B9D"/>
    <w:rsid w:val="00FC05C4"/>
    <w:rsid w:val="00FC0DB1"/>
    <w:rsid w:val="00FC2E21"/>
    <w:rsid w:val="00FC4279"/>
    <w:rsid w:val="00FC42AC"/>
    <w:rsid w:val="00FC4505"/>
    <w:rsid w:val="00FC580A"/>
    <w:rsid w:val="00FC58F2"/>
    <w:rsid w:val="00FC625D"/>
    <w:rsid w:val="00FC74DA"/>
    <w:rsid w:val="00FC7D09"/>
    <w:rsid w:val="00FC7DD5"/>
    <w:rsid w:val="00FC7E8C"/>
    <w:rsid w:val="00FD0227"/>
    <w:rsid w:val="00FD2ED1"/>
    <w:rsid w:val="00FD3C0C"/>
    <w:rsid w:val="00FD44ED"/>
    <w:rsid w:val="00FD4ADC"/>
    <w:rsid w:val="00FD529B"/>
    <w:rsid w:val="00FD7A40"/>
    <w:rsid w:val="00FD7C9D"/>
    <w:rsid w:val="00FE0361"/>
    <w:rsid w:val="00FE0789"/>
    <w:rsid w:val="00FE0E12"/>
    <w:rsid w:val="00FE1584"/>
    <w:rsid w:val="00FE2A9B"/>
    <w:rsid w:val="00FE3ABF"/>
    <w:rsid w:val="00FE43CC"/>
    <w:rsid w:val="00FE45DC"/>
    <w:rsid w:val="00FE4789"/>
    <w:rsid w:val="00FE4D1E"/>
    <w:rsid w:val="00FE50A1"/>
    <w:rsid w:val="00FE5AB5"/>
    <w:rsid w:val="00FE61BA"/>
    <w:rsid w:val="00FE638B"/>
    <w:rsid w:val="00FF128D"/>
    <w:rsid w:val="00FF1E10"/>
    <w:rsid w:val="00FF243D"/>
    <w:rsid w:val="00FF2AAD"/>
    <w:rsid w:val="00FF2C0F"/>
    <w:rsid w:val="00FF482A"/>
    <w:rsid w:val="00FF5F56"/>
    <w:rsid w:val="00FF68A4"/>
    <w:rsid w:val="00FF6E72"/>
    <w:rsid w:val="00FF73C7"/>
    <w:rsid w:val="0231636C"/>
    <w:rsid w:val="035309DE"/>
    <w:rsid w:val="04500A53"/>
    <w:rsid w:val="066A0202"/>
    <w:rsid w:val="084421DA"/>
    <w:rsid w:val="1361475D"/>
    <w:rsid w:val="18E16D10"/>
    <w:rsid w:val="1B282F95"/>
    <w:rsid w:val="1B7B54F3"/>
    <w:rsid w:val="52DF52CD"/>
    <w:rsid w:val="5F7D551A"/>
    <w:rsid w:val="61F514C6"/>
    <w:rsid w:val="73832A2A"/>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89F7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locked="1"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1"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1"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aliases w:val="Title"/>
    <w:basedOn w:val="Normal"/>
    <w:next w:val="Normal"/>
    <w:link w:val="Heading1Char"/>
    <w:uiPriority w:val="9"/>
    <w:qFormat/>
    <w:rsid w:val="00D93817"/>
    <w:pPr>
      <w:keepNext/>
      <w:keepLines/>
      <w:spacing w:after="120"/>
      <w:jc w:val="both"/>
      <w:outlineLvl w:val="0"/>
    </w:pPr>
    <w:rPr>
      <w:rFonts w:ascii="Bookman Old Style" w:eastAsiaTheme="majorEastAsia" w:hAnsi="Bookman Old Style" w:cstheme="majorBidi"/>
      <w:color w:val="0070C0"/>
      <w:sz w:val="32"/>
      <w:szCs w:val="32"/>
    </w:rPr>
  </w:style>
  <w:style w:type="paragraph" w:styleId="Heading2">
    <w:name w:val="heading 2"/>
    <w:aliases w:val="Hading"/>
    <w:basedOn w:val="Normal"/>
    <w:next w:val="Normal"/>
    <w:link w:val="Heading2Char"/>
    <w:uiPriority w:val="9"/>
    <w:unhideWhenUsed/>
    <w:qFormat/>
    <w:rsid w:val="00D93817"/>
    <w:pPr>
      <w:keepNext/>
      <w:keepLines/>
      <w:spacing w:after="120"/>
      <w:outlineLvl w:val="1"/>
    </w:pPr>
    <w:rPr>
      <w:rFonts w:ascii="Century Gothic" w:eastAsiaTheme="majorEastAsia" w:hAnsi="Century Gothic" w:cstheme="majorBidi"/>
      <w:color w:val="000000" w:themeColor="text1"/>
      <w:szCs w:val="26"/>
    </w:rPr>
  </w:style>
  <w:style w:type="paragraph" w:styleId="Heading3">
    <w:name w:val="heading 3"/>
    <w:basedOn w:val="Normal"/>
    <w:next w:val="Normal"/>
    <w:link w:val="Heading3Char"/>
    <w:uiPriority w:val="9"/>
    <w:unhideWhenUsed/>
    <w:qFormat/>
    <w:pPr>
      <w:keepNext/>
      <w:keepLines/>
      <w:spacing w:after="120"/>
      <w:outlineLvl w:val="2"/>
    </w:pPr>
    <w:rPr>
      <w:rFonts w:ascii="Century Gothic" w:eastAsiaTheme="majorEastAsia" w:hAnsi="Century Gothic" w:cstheme="majorBidi"/>
      <w:sz w:val="18"/>
    </w:rPr>
  </w:style>
  <w:style w:type="paragraph" w:styleId="Heading4">
    <w:name w:val="heading 4"/>
    <w:basedOn w:val="Normal"/>
    <w:next w:val="Normal"/>
    <w:link w:val="Heading4Char"/>
    <w:uiPriority w:val="9"/>
    <w:semiHidden/>
    <w:unhideWhenUsed/>
    <w:qFormat/>
    <w:pPr>
      <w:keepNext/>
      <w:keepLines/>
      <w:spacing w:after="120"/>
      <w:outlineLvl w:val="3"/>
    </w:pPr>
    <w:rPr>
      <w:rFonts w:ascii="Century Schoolbook" w:eastAsiaTheme="majorEastAsia" w:hAnsi="Century Schoolbook" w:cstheme="majorBidi"/>
      <w:b/>
      <w:iCs/>
      <w:color w:val="2F5496" w:themeColor="accent1" w:themeShade="BF"/>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widowControl w:val="0"/>
      <w:autoSpaceDE w:val="0"/>
      <w:autoSpaceDN w:val="0"/>
    </w:pPr>
    <w:rPr>
      <w:rFonts w:ascii="Segoe UI" w:eastAsia="Times New Roman" w:hAnsi="Segoe UI" w:cs="Segoe UI"/>
      <w:sz w:val="18"/>
      <w:szCs w:val="18"/>
      <w:lang w:val="id"/>
    </w:rPr>
  </w:style>
  <w:style w:type="paragraph" w:styleId="BodyText">
    <w:name w:val="Body Text"/>
    <w:basedOn w:val="Normal"/>
    <w:link w:val="BodyTextChar"/>
    <w:uiPriority w:val="1"/>
    <w:qFormat/>
    <w:pPr>
      <w:widowControl w:val="0"/>
      <w:autoSpaceDE w:val="0"/>
      <w:autoSpaceDN w:val="0"/>
    </w:pPr>
    <w:rPr>
      <w:rFonts w:ascii="Times New Roman" w:eastAsia="Times New Roman" w:hAnsi="Times New Roman" w:cs="Times New Roman"/>
      <w:lang w:val="id"/>
    </w:rPr>
  </w:style>
  <w:style w:type="paragraph" w:styleId="Caption">
    <w:name w:val="caption"/>
    <w:basedOn w:val="Normal"/>
    <w:next w:val="Normal"/>
    <w:uiPriority w:val="35"/>
    <w:unhideWhenUsed/>
    <w:qFormat/>
    <w:pPr>
      <w:spacing w:after="200"/>
    </w:pPr>
    <w:rPr>
      <w:i/>
      <w:iCs/>
      <w:color w:val="44546A" w:themeColor="text2"/>
      <w:sz w:val="18"/>
      <w:szCs w:val="18"/>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rsid w:val="009F03C2"/>
    <w:pPr>
      <w:tabs>
        <w:tab w:val="center" w:pos="4513"/>
        <w:tab w:val="right" w:pos="9026"/>
      </w:tabs>
    </w:pPr>
    <w:rPr>
      <w:rFonts w:ascii="Cambria" w:hAnsi="Cambria"/>
      <w:color w:val="4472C4" w:themeColor="accent1"/>
      <w:sz w:val="18"/>
    </w:rPr>
  </w:style>
  <w:style w:type="paragraph" w:styleId="Header">
    <w:name w:val="header"/>
    <w:basedOn w:val="Normal"/>
    <w:link w:val="HeaderChar"/>
    <w:uiPriority w:val="99"/>
    <w:unhideWhenUsed/>
    <w:qFormat/>
    <w:rsid w:val="00DA4051"/>
    <w:pPr>
      <w:tabs>
        <w:tab w:val="center" w:pos="4513"/>
        <w:tab w:val="right" w:pos="9026"/>
      </w:tabs>
      <w:spacing w:after="120"/>
      <w:jc w:val="center"/>
    </w:pPr>
    <w:rPr>
      <w:rFonts w:ascii="Cambria" w:hAnsi="Cambria"/>
      <w:sz w:val="14"/>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qFormat/>
    <w:locked/>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pPr>
      <w:widowControl w:val="0"/>
      <w:autoSpaceDE w:val="0"/>
      <w:autoSpaceDN w:val="0"/>
      <w:spacing w:before="96"/>
      <w:ind w:left="1231" w:right="1259"/>
      <w:jc w:val="center"/>
    </w:pPr>
    <w:rPr>
      <w:rFonts w:ascii="Cambria" w:eastAsia="Cambria" w:hAnsi="Cambria" w:cs="Cambria"/>
      <w:sz w:val="28"/>
      <w:szCs w:val="28"/>
      <w:lang w:val="id"/>
    </w:r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qFormat/>
    <w:pPr>
      <w:spacing w:after="100"/>
      <w:ind w:left="240"/>
    </w:pPr>
  </w:style>
  <w:style w:type="paragraph" w:styleId="TOC3">
    <w:name w:val="toc 3"/>
    <w:basedOn w:val="Normal"/>
    <w:next w:val="Normal"/>
    <w:uiPriority w:val="39"/>
    <w:unhideWhenUsed/>
    <w:qFormat/>
    <w:pPr>
      <w:spacing w:after="100"/>
      <w:ind w:left="480"/>
    </w:pPr>
  </w:style>
  <w:style w:type="paragraph" w:styleId="ListParagraph">
    <w:name w:val="List Paragraph"/>
    <w:basedOn w:val="Normal"/>
    <w:link w:val="ListParagraphChar"/>
    <w:uiPriority w:val="34"/>
    <w:qFormat/>
    <w:pPr>
      <w:widowControl w:val="0"/>
      <w:autoSpaceDE w:val="0"/>
      <w:autoSpaceDN w:val="0"/>
      <w:ind w:left="1296" w:hanging="721"/>
      <w:jc w:val="both"/>
    </w:pPr>
    <w:rPr>
      <w:rFonts w:ascii="Times New Roman" w:eastAsia="Times New Roman" w:hAnsi="Times New Roman" w:cs="Times New Roman"/>
      <w:sz w:val="22"/>
      <w:szCs w:val="22"/>
      <w:lang w:val="id"/>
    </w:rPr>
  </w:style>
  <w:style w:type="character" w:customStyle="1" w:styleId="ListParagraphChar">
    <w:name w:val="List Paragraph Char"/>
    <w:link w:val="ListParagraph"/>
    <w:uiPriority w:val="34"/>
    <w:qFormat/>
    <w:locked/>
    <w:rPr>
      <w:rFonts w:ascii="Times New Roman" w:eastAsia="Times New Roman" w:hAnsi="Times New Roman" w:cs="Times New Roman"/>
      <w:sz w:val="22"/>
      <w:szCs w:val="22"/>
      <w:lang w:val="id"/>
    </w:rPr>
  </w:style>
  <w:style w:type="paragraph" w:customStyle="1" w:styleId="Default">
    <w:name w:val="Default"/>
    <w:link w:val="DefaultChar"/>
    <w:qFormat/>
    <w:pPr>
      <w:autoSpaceDE w:val="0"/>
      <w:autoSpaceDN w:val="0"/>
      <w:adjustRightInd w:val="0"/>
    </w:pPr>
    <w:rPr>
      <w:rFonts w:ascii="Times New Roman" w:hAnsi="Times New Roman" w:cs="Times New Roman"/>
      <w:color w:val="000000"/>
      <w:sz w:val="24"/>
      <w:szCs w:val="24"/>
      <w:lang w:val="en-US" w:eastAsia="en-US"/>
    </w:rPr>
  </w:style>
  <w:style w:type="paragraph" w:customStyle="1" w:styleId="Revisi1">
    <w:name w:val="Revisi1"/>
    <w:hidden/>
    <w:uiPriority w:val="99"/>
    <w:semiHidden/>
    <w:qFormat/>
    <w:rPr>
      <w:sz w:val="24"/>
      <w:szCs w:val="24"/>
      <w:lang w:val="zh-CN"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rsid w:val="00DA4051"/>
    <w:rPr>
      <w:rFonts w:ascii="Cambria" w:hAnsi="Cambria"/>
      <w:sz w:val="14"/>
      <w:szCs w:val="24"/>
      <w:lang w:eastAsia="en-US"/>
    </w:rPr>
  </w:style>
  <w:style w:type="character" w:customStyle="1" w:styleId="FooterChar">
    <w:name w:val="Footer Char"/>
    <w:basedOn w:val="DefaultParagraphFont"/>
    <w:link w:val="Footer"/>
    <w:uiPriority w:val="99"/>
    <w:qFormat/>
    <w:rsid w:val="009F03C2"/>
    <w:rPr>
      <w:rFonts w:ascii="Cambria" w:hAnsi="Cambria"/>
      <w:color w:val="4472C4" w:themeColor="accent1"/>
      <w:sz w:val="18"/>
      <w:szCs w:val="24"/>
      <w:lang w:eastAsia="en-US"/>
    </w:rPr>
  </w:style>
  <w:style w:type="character" w:customStyle="1" w:styleId="SebutanYangBelumTerselesaikan1">
    <w:name w:val="Sebutan Yang Belum Terselesaikan1"/>
    <w:basedOn w:val="DefaultParagraphFont"/>
    <w:uiPriority w:val="99"/>
    <w:semiHidden/>
    <w:unhideWhenUsed/>
    <w:qFormat/>
    <w:rPr>
      <w:color w:val="605E5C"/>
      <w:shd w:val="clear" w:color="auto" w:fill="E1DFDD"/>
    </w:rPr>
  </w:style>
  <w:style w:type="character" w:customStyle="1" w:styleId="Heading1Char">
    <w:name w:val="Heading 1 Char"/>
    <w:aliases w:val="Title Char1"/>
    <w:basedOn w:val="DefaultParagraphFont"/>
    <w:link w:val="Heading1"/>
    <w:uiPriority w:val="9"/>
    <w:qFormat/>
    <w:rsid w:val="00D93817"/>
    <w:rPr>
      <w:rFonts w:ascii="Bookman Old Style" w:eastAsiaTheme="majorEastAsia" w:hAnsi="Bookman Old Style" w:cstheme="majorBidi"/>
      <w:color w:val="0070C0"/>
      <w:sz w:val="32"/>
      <w:szCs w:val="32"/>
      <w:lang w:eastAsia="en-US"/>
    </w:rPr>
  </w:style>
  <w:style w:type="character" w:customStyle="1" w:styleId="Heading2Char">
    <w:name w:val="Heading 2 Char"/>
    <w:aliases w:val="Hading Char"/>
    <w:basedOn w:val="DefaultParagraphFont"/>
    <w:link w:val="Heading2"/>
    <w:uiPriority w:val="9"/>
    <w:qFormat/>
    <w:rsid w:val="00D93817"/>
    <w:rPr>
      <w:rFonts w:ascii="Century Gothic" w:eastAsiaTheme="majorEastAsia" w:hAnsi="Century Gothic" w:cstheme="majorBidi"/>
      <w:color w:val="000000" w:themeColor="text1"/>
      <w:sz w:val="24"/>
      <w:szCs w:val="26"/>
      <w:lang w:eastAsia="en-US"/>
    </w:rPr>
  </w:style>
  <w:style w:type="character" w:customStyle="1" w:styleId="Heading3Char">
    <w:name w:val="Heading 3 Char"/>
    <w:basedOn w:val="DefaultParagraphFont"/>
    <w:link w:val="Heading3"/>
    <w:uiPriority w:val="9"/>
    <w:qFormat/>
    <w:rPr>
      <w:rFonts w:ascii="Century Gothic" w:eastAsiaTheme="majorEastAsia" w:hAnsi="Century Gothic" w:cstheme="majorBidi"/>
      <w:sz w:val="18"/>
    </w:rPr>
  </w:style>
  <w:style w:type="character" w:styleId="PlaceholderText">
    <w:name w:val="Placeholder Text"/>
    <w:basedOn w:val="DefaultParagraphFont"/>
    <w:uiPriority w:val="99"/>
    <w:semiHidden/>
    <w:qFormat/>
    <w:rPr>
      <w:color w:val="808080"/>
    </w:rPr>
  </w:style>
  <w:style w:type="character" w:customStyle="1" w:styleId="Heading4Char">
    <w:name w:val="Heading 4 Char"/>
    <w:basedOn w:val="DefaultParagraphFont"/>
    <w:link w:val="Heading4"/>
    <w:uiPriority w:val="9"/>
    <w:semiHidden/>
    <w:qFormat/>
    <w:rPr>
      <w:rFonts w:ascii="Century Schoolbook" w:eastAsiaTheme="majorEastAsia" w:hAnsi="Century Schoolbook" w:cstheme="majorBidi"/>
      <w:b/>
      <w:iCs/>
      <w:color w:val="2F5496" w:themeColor="accent1" w:themeShade="BF"/>
      <w:sz w:val="16"/>
    </w:rPr>
  </w:style>
  <w:style w:type="paragraph" w:styleId="NoSpacing">
    <w:name w:val="No Spacing"/>
    <w:uiPriority w:val="1"/>
    <w:qFormat/>
    <w:rPr>
      <w:rFonts w:ascii="Calibri" w:eastAsia="Times New Roman" w:hAnsi="Calibri" w:cs="Times New Roman"/>
      <w:sz w:val="21"/>
      <w:szCs w:val="21"/>
      <w:lang w:eastAsia="en-US"/>
    </w:rPr>
  </w:style>
  <w:style w:type="character" w:customStyle="1" w:styleId="BodyTextChar">
    <w:name w:val="Body Text Char"/>
    <w:basedOn w:val="DefaultParagraphFont"/>
    <w:link w:val="BodyText"/>
    <w:uiPriority w:val="1"/>
    <w:qFormat/>
    <w:rPr>
      <w:rFonts w:ascii="Times New Roman" w:eastAsia="Times New Roman" w:hAnsi="Times New Roman" w:cs="Times New Roman"/>
      <w:lang w:val="id"/>
    </w:rPr>
  </w:style>
  <w:style w:type="paragraph" w:customStyle="1" w:styleId="TableParagraph">
    <w:name w:val="Table Paragraph"/>
    <w:basedOn w:val="Normal"/>
    <w:uiPriority w:val="1"/>
    <w:qFormat/>
    <w:locked/>
    <w:pPr>
      <w:widowControl w:val="0"/>
      <w:autoSpaceDE w:val="0"/>
      <w:autoSpaceDN w:val="0"/>
      <w:jc w:val="center"/>
    </w:pPr>
    <w:rPr>
      <w:rFonts w:ascii="Times New Roman" w:eastAsia="Times New Roman" w:hAnsi="Times New Roman" w:cs="Times New Roman"/>
      <w:sz w:val="22"/>
      <w:szCs w:val="22"/>
      <w:lang w:val="id"/>
    </w:rPr>
  </w:style>
  <w:style w:type="table" w:customStyle="1" w:styleId="TableGrid3">
    <w:name w:val="Table Grid3"/>
    <w:basedOn w:val="TableNormal"/>
    <w:uiPriority w:val="39"/>
    <w:qFormat/>
    <w:locked/>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locked/>
    <w:pPr>
      <w:widowControl w:val="0"/>
      <w:autoSpaceDE w:val="0"/>
      <w:autoSpaceDN w:val="0"/>
    </w:pPr>
    <w:rPr>
      <w:sz w:val="22"/>
      <w:szCs w:val="22"/>
      <w:lang w:val="en-US"/>
    </w:rPr>
    <w:tblPr>
      <w:tblCellMar>
        <w:top w:w="0" w:type="dxa"/>
        <w:left w:w="0" w:type="dxa"/>
        <w:bottom w:w="0" w:type="dxa"/>
        <w:right w:w="0" w:type="dxa"/>
      </w:tblCellMar>
    </w:tblPr>
  </w:style>
  <w:style w:type="character" w:customStyle="1" w:styleId="TitleChar">
    <w:name w:val="Title Char"/>
    <w:basedOn w:val="DefaultParagraphFont"/>
    <w:link w:val="Title"/>
    <w:uiPriority w:val="10"/>
    <w:qFormat/>
    <w:rPr>
      <w:rFonts w:ascii="Cambria" w:eastAsia="Cambria" w:hAnsi="Cambria" w:cs="Cambria"/>
      <w:sz w:val="28"/>
      <w:szCs w:val="28"/>
      <w:lang w:val="id"/>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id"/>
    </w:rPr>
  </w:style>
  <w:style w:type="character" w:customStyle="1" w:styleId="SebutanYangBelumTerselesaikan10">
    <w:name w:val="Sebutan Yang Belum Terselesaikan1"/>
    <w:basedOn w:val="DefaultParagraphFont"/>
    <w:uiPriority w:val="99"/>
    <w:semiHidden/>
    <w:unhideWhenUsed/>
    <w:qFormat/>
    <w:rPr>
      <w:color w:val="605E5C"/>
      <w:shd w:val="clear" w:color="auto" w:fill="E1DFDD"/>
    </w:rPr>
  </w:style>
  <w:style w:type="character" w:customStyle="1" w:styleId="citation-doi">
    <w:name w:val="citation-doi"/>
    <w:basedOn w:val="DefaultParagraphFont"/>
    <w:qFormat/>
  </w:style>
  <w:style w:type="character" w:customStyle="1" w:styleId="highwire-cite-metadata-volume">
    <w:name w:val="highwire-cite-metadata-volume"/>
    <w:basedOn w:val="DefaultParagraphFont"/>
    <w:qFormat/>
  </w:style>
  <w:style w:type="character" w:customStyle="1" w:styleId="highwire-cite-metadata-pages">
    <w:name w:val="highwire-cite-metadata-pages"/>
    <w:basedOn w:val="DefaultParagraphFont"/>
    <w:qFormat/>
  </w:style>
  <w:style w:type="character" w:styleId="UnresolvedMention">
    <w:name w:val="Unresolved Mention"/>
    <w:basedOn w:val="DefaultParagraphFont"/>
    <w:uiPriority w:val="99"/>
    <w:semiHidden/>
    <w:unhideWhenUsed/>
    <w:rsid w:val="00373E1F"/>
    <w:rPr>
      <w:color w:val="605E5C"/>
      <w:shd w:val="clear" w:color="auto" w:fill="E1DFDD"/>
    </w:rPr>
  </w:style>
  <w:style w:type="paragraph" w:customStyle="1" w:styleId="ListParagraph1">
    <w:name w:val="List Paragraph1"/>
    <w:basedOn w:val="Normal"/>
    <w:uiPriority w:val="34"/>
    <w:qFormat/>
    <w:rsid w:val="005C6CDA"/>
    <w:pPr>
      <w:spacing w:after="160" w:line="256" w:lineRule="auto"/>
      <w:ind w:left="720"/>
      <w:contextualSpacing/>
    </w:pPr>
    <w:rPr>
      <w:rFonts w:eastAsiaTheme="minorHAnsi"/>
      <w:sz w:val="22"/>
      <w:szCs w:val="22"/>
    </w:rPr>
  </w:style>
  <w:style w:type="character" w:customStyle="1" w:styleId="fontstyle01">
    <w:name w:val="fontstyle01"/>
    <w:basedOn w:val="DefaultParagraphFont"/>
    <w:rsid w:val="005C6CDA"/>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qFormat/>
    <w:rsid w:val="005C6CDA"/>
    <w:rPr>
      <w:rFonts w:ascii="TimesNewRoman" w:hAnsi="TimesNewRoman" w:hint="default"/>
      <w:b w:val="0"/>
      <w:bCs w:val="0"/>
      <w:i/>
      <w:iCs/>
      <w:color w:val="000000"/>
      <w:sz w:val="20"/>
      <w:szCs w:val="20"/>
    </w:rPr>
  </w:style>
  <w:style w:type="character" w:styleId="Emphasis">
    <w:name w:val="Emphasis"/>
    <w:basedOn w:val="DefaultParagraphFont"/>
    <w:uiPriority w:val="20"/>
    <w:qFormat/>
    <w:rsid w:val="005C6CDA"/>
    <w:rPr>
      <w:i/>
      <w:iCs/>
    </w:rPr>
  </w:style>
  <w:style w:type="character" w:customStyle="1" w:styleId="identifier">
    <w:name w:val="identifier"/>
    <w:basedOn w:val="DefaultParagraphFont"/>
    <w:rsid w:val="0039292B"/>
  </w:style>
  <w:style w:type="character" w:customStyle="1" w:styleId="id-label">
    <w:name w:val="id-label"/>
    <w:basedOn w:val="DefaultParagraphFont"/>
    <w:rsid w:val="0039292B"/>
  </w:style>
  <w:style w:type="character" w:customStyle="1" w:styleId="y2iqfc">
    <w:name w:val="y2iqfc"/>
    <w:basedOn w:val="DefaultParagraphFont"/>
    <w:qFormat/>
    <w:rsid w:val="00913F96"/>
  </w:style>
  <w:style w:type="character" w:customStyle="1" w:styleId="markedcontent">
    <w:name w:val="markedcontent"/>
    <w:basedOn w:val="DefaultParagraphFont"/>
    <w:rsid w:val="0078501F"/>
  </w:style>
  <w:style w:type="table" w:customStyle="1" w:styleId="PlainTable21">
    <w:name w:val="Plain Table 21"/>
    <w:basedOn w:val="TableNormal"/>
    <w:uiPriority w:val="42"/>
    <w:rsid w:val="00F91EB0"/>
    <w:rPr>
      <w:rFonts w:eastAsiaTheme="minorHAnsi"/>
      <w:sz w:val="24"/>
      <w:szCs w:val="24"/>
      <w:lang w:val="en-ID" w:eastAsia="en-ID"/>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
    <w:name w:val="Plain Table 211"/>
    <w:basedOn w:val="TableNormal"/>
    <w:uiPriority w:val="42"/>
    <w:rsid w:val="003B31D1"/>
    <w:rPr>
      <w:rFonts w:eastAsiaTheme="minorHAnsi"/>
      <w:sz w:val="24"/>
      <w:szCs w:val="24"/>
      <w:lang w:val="en-ID" w:eastAsia="en-ID"/>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JenisArtikel">
    <w:name w:val="Jenis Artikel"/>
    <w:basedOn w:val="Heading2"/>
    <w:link w:val="JenisArtikelChar"/>
    <w:qFormat/>
    <w:rsid w:val="00D93817"/>
    <w:pPr>
      <w:outlineLvl w:val="0"/>
    </w:pPr>
    <w:rPr>
      <w:rFonts w:ascii="Century Schoolbook" w:hAnsi="Century Schoolbook"/>
      <w:b/>
      <w:sz w:val="20"/>
    </w:rPr>
  </w:style>
  <w:style w:type="character" w:customStyle="1" w:styleId="JenisArtikelChar">
    <w:name w:val="Jenis Artikel Char"/>
    <w:basedOn w:val="Heading2Char"/>
    <w:link w:val="JenisArtikel"/>
    <w:rsid w:val="00D93817"/>
    <w:rPr>
      <w:rFonts w:ascii="Century Schoolbook" w:eastAsiaTheme="majorEastAsia" w:hAnsi="Century Schoolbook" w:cstheme="majorBidi"/>
      <w:b/>
      <w:color w:val="000000" w:themeColor="text1"/>
      <w:sz w:val="24"/>
      <w:szCs w:val="26"/>
      <w:lang w:val="en-US" w:eastAsia="en-US"/>
    </w:rPr>
  </w:style>
  <w:style w:type="paragraph" w:customStyle="1" w:styleId="JudulArtikel">
    <w:name w:val="Judul Artikel"/>
    <w:basedOn w:val="Heading1"/>
    <w:link w:val="JudulArtikelChar"/>
    <w:qFormat/>
    <w:rsid w:val="00162375"/>
    <w:pPr>
      <w:outlineLvl w:val="1"/>
    </w:pPr>
    <w:rPr>
      <w:rFonts w:ascii="Cambria" w:hAnsi="Cambria"/>
      <w:sz w:val="34"/>
    </w:rPr>
  </w:style>
  <w:style w:type="character" w:customStyle="1" w:styleId="JudulArtikelChar">
    <w:name w:val="Judul Artikel Char"/>
    <w:basedOn w:val="Heading1Char"/>
    <w:link w:val="JudulArtikel"/>
    <w:rsid w:val="00162375"/>
    <w:rPr>
      <w:rFonts w:ascii="Cambria" w:eastAsiaTheme="majorEastAsia" w:hAnsi="Cambria" w:cstheme="majorBidi"/>
      <w:color w:val="0070C0"/>
      <w:sz w:val="34"/>
      <w:szCs w:val="32"/>
      <w:lang w:val="en-US" w:eastAsia="en-US"/>
    </w:rPr>
  </w:style>
  <w:style w:type="paragraph" w:customStyle="1" w:styleId="Penulis">
    <w:name w:val="Penulis"/>
    <w:basedOn w:val="Heading2"/>
    <w:link w:val="PenulisChar"/>
    <w:qFormat/>
    <w:rsid w:val="00D904AF"/>
    <w:pPr>
      <w:jc w:val="both"/>
      <w:outlineLvl w:val="2"/>
    </w:pPr>
    <w:rPr>
      <w:rFonts w:ascii="Cambria" w:hAnsi="Cambria"/>
      <w:sz w:val="22"/>
    </w:rPr>
  </w:style>
  <w:style w:type="character" w:customStyle="1" w:styleId="PenulisChar">
    <w:name w:val="Penulis Char"/>
    <w:basedOn w:val="Heading2Char"/>
    <w:link w:val="Penulis"/>
    <w:rsid w:val="00D904AF"/>
    <w:rPr>
      <w:rFonts w:ascii="Cambria" w:eastAsiaTheme="majorEastAsia" w:hAnsi="Cambria" w:cstheme="majorBidi"/>
      <w:color w:val="000000" w:themeColor="text1"/>
      <w:sz w:val="22"/>
      <w:szCs w:val="26"/>
      <w:lang w:val="en-US" w:eastAsia="en-US"/>
    </w:rPr>
  </w:style>
  <w:style w:type="paragraph" w:customStyle="1" w:styleId="Korespondensi">
    <w:name w:val="Korespondensi"/>
    <w:basedOn w:val="Heading3"/>
    <w:link w:val="KorespondensiChar"/>
    <w:qFormat/>
    <w:rsid w:val="00704BDD"/>
    <w:pPr>
      <w:spacing w:after="0"/>
      <w:outlineLvl w:val="3"/>
    </w:pPr>
    <w:rPr>
      <w:rFonts w:ascii="Cambria" w:hAnsi="Cambria"/>
      <w:shd w:val="clear" w:color="auto" w:fill="FFFFFF"/>
      <w:lang w:val="sv-SE"/>
    </w:rPr>
  </w:style>
  <w:style w:type="character" w:customStyle="1" w:styleId="KorespondensiChar">
    <w:name w:val="Korespondensi Char"/>
    <w:basedOn w:val="Heading3Char"/>
    <w:link w:val="Korespondensi"/>
    <w:rsid w:val="00704BDD"/>
    <w:rPr>
      <w:rFonts w:ascii="Cambria" w:eastAsiaTheme="majorEastAsia" w:hAnsi="Cambria" w:cstheme="majorBidi"/>
      <w:sz w:val="18"/>
      <w:szCs w:val="24"/>
      <w:lang w:val="sv-SE" w:eastAsia="en-US"/>
    </w:rPr>
  </w:style>
  <w:style w:type="paragraph" w:customStyle="1" w:styleId="JadwalPublish">
    <w:name w:val="Jadwal Publish"/>
    <w:basedOn w:val="Normal"/>
    <w:link w:val="JadwalPublishChar"/>
    <w:qFormat/>
    <w:rsid w:val="00654464"/>
    <w:pPr>
      <w:widowControl w:val="0"/>
      <w:ind w:left="-113"/>
    </w:pPr>
    <w:rPr>
      <w:rFonts w:ascii="Cambria" w:hAnsi="Cambria"/>
      <w:b/>
      <w:bCs/>
      <w:color w:val="0070C0"/>
      <w:sz w:val="18"/>
      <w:szCs w:val="16"/>
    </w:rPr>
  </w:style>
  <w:style w:type="character" w:customStyle="1" w:styleId="JadwalPublishChar">
    <w:name w:val="Jadwal Publish Char"/>
    <w:basedOn w:val="DefaultParagraphFont"/>
    <w:link w:val="JadwalPublish"/>
    <w:rsid w:val="00654464"/>
    <w:rPr>
      <w:rFonts w:ascii="Cambria" w:hAnsi="Cambria"/>
      <w:b/>
      <w:bCs/>
      <w:color w:val="0070C0"/>
      <w:sz w:val="18"/>
      <w:szCs w:val="16"/>
      <w:lang w:val="en-US" w:eastAsia="en-US"/>
    </w:rPr>
  </w:style>
  <w:style w:type="paragraph" w:customStyle="1" w:styleId="KataKunci">
    <w:name w:val="Kata Kunci"/>
    <w:basedOn w:val="Normal"/>
    <w:link w:val="KataKunciChar"/>
    <w:qFormat/>
    <w:rsid w:val="00645166"/>
    <w:pPr>
      <w:spacing w:before="120" w:after="120"/>
      <w:ind w:right="170"/>
    </w:pPr>
    <w:rPr>
      <w:rFonts w:ascii="Cambria" w:hAnsi="Cambria" w:cs="Times New Roman"/>
      <w:bCs/>
      <w:color w:val="009999"/>
      <w:sz w:val="20"/>
      <w:szCs w:val="20"/>
    </w:rPr>
  </w:style>
  <w:style w:type="character" w:customStyle="1" w:styleId="KataKunciChar">
    <w:name w:val="Kata Kunci Char"/>
    <w:basedOn w:val="DefaultParagraphFont"/>
    <w:link w:val="KataKunci"/>
    <w:rsid w:val="00645166"/>
    <w:rPr>
      <w:rFonts w:ascii="Cambria" w:hAnsi="Cambria" w:cs="Times New Roman"/>
      <w:bCs/>
      <w:color w:val="009999"/>
      <w:lang w:eastAsia="en-US"/>
    </w:rPr>
  </w:style>
  <w:style w:type="paragraph" w:customStyle="1" w:styleId="Abstsrak">
    <w:name w:val="Abstsrak"/>
    <w:basedOn w:val="Default"/>
    <w:link w:val="AbstsrakChar"/>
    <w:qFormat/>
    <w:rsid w:val="0064448F"/>
    <w:pPr>
      <w:jc w:val="both"/>
    </w:pPr>
    <w:rPr>
      <w:rFonts w:ascii="Cambria" w:hAnsi="Cambria"/>
      <w:bCs/>
      <w:color w:val="auto"/>
      <w:sz w:val="20"/>
      <w:szCs w:val="20"/>
      <w:shd w:val="clear" w:color="auto" w:fill="FFFFFF"/>
      <w:lang w:val="id-ID"/>
    </w:rPr>
  </w:style>
  <w:style w:type="character" w:customStyle="1" w:styleId="DefaultChar">
    <w:name w:val="Default Char"/>
    <w:basedOn w:val="DefaultParagraphFont"/>
    <w:link w:val="Default"/>
    <w:rsid w:val="000945B2"/>
    <w:rPr>
      <w:rFonts w:ascii="Times New Roman" w:hAnsi="Times New Roman" w:cs="Times New Roman"/>
      <w:color w:val="000000"/>
      <w:sz w:val="24"/>
      <w:szCs w:val="24"/>
      <w:lang w:val="en-US" w:eastAsia="en-US"/>
    </w:rPr>
  </w:style>
  <w:style w:type="character" w:customStyle="1" w:styleId="AbstsrakChar">
    <w:name w:val="Abstsrak Char"/>
    <w:basedOn w:val="DefaultChar"/>
    <w:link w:val="Abstsrak"/>
    <w:rsid w:val="0064448F"/>
    <w:rPr>
      <w:rFonts w:ascii="Cambria" w:hAnsi="Cambria" w:cs="Times New Roman"/>
      <w:bCs/>
      <w:color w:val="000000"/>
      <w:sz w:val="24"/>
      <w:szCs w:val="24"/>
      <w:lang w:val="en-US" w:eastAsia="en-US"/>
    </w:rPr>
  </w:style>
  <w:style w:type="paragraph" w:customStyle="1" w:styleId="JudulAbstrak">
    <w:name w:val="Judul Abstrak"/>
    <w:basedOn w:val="Normal"/>
    <w:link w:val="JudulAbstrakChar"/>
    <w:qFormat/>
    <w:rsid w:val="00A81D7A"/>
    <w:pPr>
      <w:spacing w:before="120"/>
    </w:pPr>
    <w:rPr>
      <w:rFonts w:ascii="Cambria" w:hAnsi="Cambria" w:cs="Times New Roman"/>
      <w:b/>
      <w:bCs/>
      <w:color w:val="4472C4" w:themeColor="accent1"/>
      <w:sz w:val="22"/>
    </w:rPr>
  </w:style>
  <w:style w:type="character" w:customStyle="1" w:styleId="JudulAbstrakChar">
    <w:name w:val="Judul Abstrak Char"/>
    <w:basedOn w:val="DefaultParagraphFont"/>
    <w:link w:val="JudulAbstrak"/>
    <w:rsid w:val="00A81D7A"/>
    <w:rPr>
      <w:rFonts w:ascii="Cambria" w:hAnsi="Cambria" w:cs="Times New Roman"/>
      <w:b/>
      <w:bCs/>
      <w:color w:val="4472C4" w:themeColor="accent1"/>
      <w:sz w:val="22"/>
      <w:szCs w:val="24"/>
      <w:lang w:eastAsia="en-US"/>
    </w:rPr>
  </w:style>
  <w:style w:type="paragraph" w:customStyle="1" w:styleId="EmailKoresponden">
    <w:name w:val="Email Koresponden"/>
    <w:basedOn w:val="Normal"/>
    <w:link w:val="EmailKorespondenChar"/>
    <w:qFormat/>
    <w:rsid w:val="000945B2"/>
    <w:pPr>
      <w:widowControl w:val="0"/>
      <w:jc w:val="right"/>
    </w:pPr>
    <w:rPr>
      <w:rFonts w:ascii="Century Schoolbook" w:hAnsi="Century Schoolbook"/>
      <w:bCs/>
      <w:sz w:val="16"/>
      <w:szCs w:val="16"/>
    </w:rPr>
  </w:style>
  <w:style w:type="character" w:customStyle="1" w:styleId="EmailKorespondenChar">
    <w:name w:val="Email Koresponden Char"/>
    <w:basedOn w:val="DefaultParagraphFont"/>
    <w:link w:val="EmailKoresponden"/>
    <w:rsid w:val="000945B2"/>
    <w:rPr>
      <w:rFonts w:ascii="Century Schoolbook" w:hAnsi="Century Schoolbook"/>
      <w:bCs/>
      <w:sz w:val="16"/>
      <w:szCs w:val="16"/>
      <w:lang w:eastAsia="en-US"/>
    </w:rPr>
  </w:style>
  <w:style w:type="paragraph" w:customStyle="1" w:styleId="JudulBAB">
    <w:name w:val="Judul BAB"/>
    <w:basedOn w:val="Normal"/>
    <w:link w:val="JudulBABChar"/>
    <w:qFormat/>
    <w:rsid w:val="00A04405"/>
    <w:pPr>
      <w:shd w:val="clear" w:color="auto" w:fill="FFFFFF"/>
      <w:tabs>
        <w:tab w:val="left" w:pos="3090"/>
      </w:tabs>
      <w:spacing w:line="360" w:lineRule="auto"/>
    </w:pPr>
    <w:rPr>
      <w:rFonts w:ascii="Cambria" w:hAnsi="Cambria"/>
      <w:b/>
      <w:bCs/>
      <w:color w:val="4472C4" w:themeColor="accent1"/>
      <w:sz w:val="22"/>
      <w:szCs w:val="22"/>
      <w:shd w:val="clear" w:color="auto" w:fill="FFFFFF"/>
    </w:rPr>
  </w:style>
  <w:style w:type="character" w:customStyle="1" w:styleId="JudulBABChar">
    <w:name w:val="Judul BAB Char"/>
    <w:basedOn w:val="DefaultParagraphFont"/>
    <w:link w:val="JudulBAB"/>
    <w:rsid w:val="00A04405"/>
    <w:rPr>
      <w:rFonts w:ascii="Cambria" w:hAnsi="Cambria"/>
      <w:b/>
      <w:bCs/>
      <w:color w:val="4472C4" w:themeColor="accent1"/>
      <w:sz w:val="22"/>
      <w:szCs w:val="22"/>
      <w:shd w:val="clear" w:color="auto" w:fill="FFFFFF"/>
      <w:lang w:eastAsia="en-US"/>
    </w:rPr>
  </w:style>
  <w:style w:type="paragraph" w:customStyle="1" w:styleId="JudulTabel">
    <w:name w:val="Judul Tabel"/>
    <w:basedOn w:val="Normal"/>
    <w:link w:val="JudulTabelChar"/>
    <w:qFormat/>
    <w:rsid w:val="00AE5BC3"/>
    <w:pPr>
      <w:spacing w:after="120"/>
      <w:jc w:val="both"/>
    </w:pPr>
    <w:rPr>
      <w:rFonts w:ascii="Cambria" w:eastAsia="Times New Roman" w:hAnsi="Cambria" w:cs="Times New Roman"/>
      <w:color w:val="000000"/>
      <w:sz w:val="20"/>
      <w:szCs w:val="20"/>
    </w:rPr>
  </w:style>
  <w:style w:type="character" w:customStyle="1" w:styleId="JudulTabelChar">
    <w:name w:val="Judul Tabel Char"/>
    <w:basedOn w:val="DefaultParagraphFont"/>
    <w:link w:val="JudulTabel"/>
    <w:rsid w:val="00AE5BC3"/>
    <w:rPr>
      <w:rFonts w:ascii="Cambria" w:eastAsia="Times New Roman" w:hAnsi="Cambria" w:cs="Times New Roman"/>
      <w:color w:val="000000"/>
      <w:lang w:val="en-US" w:eastAsia="en-US"/>
    </w:rPr>
  </w:style>
  <w:style w:type="paragraph" w:customStyle="1" w:styleId="JudulGambar">
    <w:name w:val="Judul Gambar"/>
    <w:basedOn w:val="Normal"/>
    <w:link w:val="JudulGambarChar"/>
    <w:qFormat/>
    <w:rsid w:val="00ED4CE1"/>
    <w:pPr>
      <w:keepNext/>
      <w:jc w:val="center"/>
    </w:pPr>
    <w:rPr>
      <w:rFonts w:ascii="Cambria" w:hAnsi="Cambria" w:cs="Times New Roman"/>
      <w:sz w:val="18"/>
      <w:szCs w:val="18"/>
      <w:lang w:val="sv-SE"/>
    </w:rPr>
  </w:style>
  <w:style w:type="character" w:customStyle="1" w:styleId="JudulGambarChar">
    <w:name w:val="Judul Gambar Char"/>
    <w:basedOn w:val="DefaultParagraphFont"/>
    <w:link w:val="JudulGambar"/>
    <w:rsid w:val="00ED4CE1"/>
    <w:rPr>
      <w:rFonts w:ascii="Cambria" w:hAnsi="Cambria" w:cs="Times New Roman"/>
      <w:sz w:val="18"/>
      <w:szCs w:val="18"/>
      <w:lang w:val="sv-SE" w:eastAsia="en-US"/>
    </w:rPr>
  </w:style>
  <w:style w:type="paragraph" w:customStyle="1" w:styleId="IsiNaskah">
    <w:name w:val="Isi Naskah"/>
    <w:basedOn w:val="Normal"/>
    <w:link w:val="IsiNaskahChar"/>
    <w:qFormat/>
    <w:rsid w:val="002F69A7"/>
    <w:pPr>
      <w:spacing w:line="360" w:lineRule="auto"/>
      <w:ind w:firstLine="340"/>
      <w:jc w:val="both"/>
    </w:pPr>
    <w:rPr>
      <w:rFonts w:ascii="Cambria" w:hAnsi="Cambria" w:cs="Times New Roman"/>
      <w:sz w:val="20"/>
      <w:szCs w:val="20"/>
    </w:rPr>
  </w:style>
  <w:style w:type="character" w:customStyle="1" w:styleId="IsiNaskahChar">
    <w:name w:val="Isi Naskah Char"/>
    <w:basedOn w:val="DefaultParagraphFont"/>
    <w:link w:val="IsiNaskah"/>
    <w:rsid w:val="002F69A7"/>
    <w:rPr>
      <w:rFonts w:ascii="Cambria" w:hAnsi="Cambria" w:cs="Times New Roman"/>
      <w:lang w:val="en-US" w:eastAsia="en-US"/>
    </w:rPr>
  </w:style>
  <w:style w:type="paragraph" w:customStyle="1" w:styleId="Tabel">
    <w:name w:val="Tabel"/>
    <w:basedOn w:val="Normal"/>
    <w:link w:val="TabelChar"/>
    <w:qFormat/>
    <w:locked/>
    <w:rsid w:val="00FE1584"/>
    <w:pPr>
      <w:ind w:left="-113" w:right="-113"/>
    </w:pPr>
    <w:rPr>
      <w:rFonts w:ascii="Cambria" w:hAnsi="Cambria" w:cs="Times New Roman"/>
      <w:spacing w:val="-4"/>
      <w:sz w:val="18"/>
      <w:szCs w:val="18"/>
      <w:lang w:eastAsia="id-ID"/>
    </w:rPr>
  </w:style>
  <w:style w:type="character" w:customStyle="1" w:styleId="TabelChar">
    <w:name w:val="Tabel Char"/>
    <w:basedOn w:val="DefaultParagraphFont"/>
    <w:link w:val="Tabel"/>
    <w:rsid w:val="00FE1584"/>
    <w:rPr>
      <w:rFonts w:ascii="Cambria" w:hAnsi="Cambria" w:cs="Times New Roman"/>
      <w:spacing w:val="-4"/>
      <w:sz w:val="18"/>
      <w:szCs w:val="18"/>
      <w:lang w:val="en-US"/>
    </w:rPr>
  </w:style>
  <w:style w:type="paragraph" w:customStyle="1" w:styleId="DaftarPustaka">
    <w:name w:val="Daftar Pustaka"/>
    <w:basedOn w:val="Normal"/>
    <w:link w:val="DaftarPustakaChar"/>
    <w:qFormat/>
    <w:rsid w:val="00C70140"/>
    <w:pPr>
      <w:widowControl w:val="0"/>
      <w:numPr>
        <w:numId w:val="1"/>
      </w:numPr>
      <w:autoSpaceDE w:val="0"/>
      <w:autoSpaceDN w:val="0"/>
      <w:adjustRightInd w:val="0"/>
      <w:ind w:left="284" w:hanging="284"/>
      <w:jc w:val="both"/>
    </w:pPr>
    <w:rPr>
      <w:rFonts w:ascii="Cambria" w:eastAsia="Times New Roman" w:hAnsi="Cambria" w:cs="Times New Roman"/>
      <w:spacing w:val="-4"/>
      <w:sz w:val="18"/>
      <w:szCs w:val="20"/>
    </w:rPr>
  </w:style>
  <w:style w:type="character" w:customStyle="1" w:styleId="DaftarPustakaChar">
    <w:name w:val="Daftar Pustaka Char"/>
    <w:basedOn w:val="DefaultParagraphFont"/>
    <w:link w:val="DaftarPustaka"/>
    <w:rsid w:val="00C70140"/>
    <w:rPr>
      <w:rFonts w:ascii="Cambria" w:eastAsia="Times New Roman" w:hAnsi="Cambria" w:cs="Times New Roman"/>
      <w:spacing w:val="-4"/>
      <w:sz w:val="18"/>
      <w:lang w:val="en-US" w:eastAsia="en-US"/>
    </w:rPr>
  </w:style>
  <w:style w:type="paragraph" w:customStyle="1" w:styleId="Howtocite">
    <w:name w:val="How to cite"/>
    <w:basedOn w:val="Normal"/>
    <w:link w:val="HowtociteChar"/>
    <w:qFormat/>
    <w:rsid w:val="0086596E"/>
    <w:pPr>
      <w:jc w:val="both"/>
    </w:pPr>
    <w:rPr>
      <w:rFonts w:ascii="Calibri" w:hAnsi="Calibri"/>
      <w:sz w:val="16"/>
      <w:szCs w:val="16"/>
    </w:rPr>
  </w:style>
  <w:style w:type="character" w:customStyle="1" w:styleId="HowtociteChar">
    <w:name w:val="How to cite Char"/>
    <w:basedOn w:val="DefaultParagraphFont"/>
    <w:link w:val="Howtocite"/>
    <w:rsid w:val="0086596E"/>
    <w:rPr>
      <w:rFonts w:ascii="Calibri" w:hAnsi="Calibri"/>
      <w:sz w:val="16"/>
      <w:szCs w:val="16"/>
      <w:lang w:val="en-US" w:eastAsia="en-US"/>
    </w:rPr>
  </w:style>
  <w:style w:type="paragraph" w:styleId="Bibliography">
    <w:name w:val="Bibliography"/>
    <w:basedOn w:val="Normal"/>
    <w:next w:val="Normal"/>
    <w:uiPriority w:val="37"/>
    <w:semiHidden/>
    <w:unhideWhenUsed/>
    <w:rsid w:val="00872EAF"/>
  </w:style>
  <w:style w:type="paragraph" w:customStyle="1" w:styleId="Bibliography1">
    <w:name w:val="Bibliography1"/>
    <w:basedOn w:val="Normal"/>
    <w:next w:val="Normal"/>
    <w:uiPriority w:val="37"/>
    <w:unhideWhenUsed/>
    <w:qFormat/>
    <w:rsid w:val="00DB38CE"/>
    <w:pPr>
      <w:spacing w:after="200" w:line="276" w:lineRule="auto"/>
    </w:pPr>
    <w:rPr>
      <w:rFonts w:ascii="Calibri" w:eastAsia="Calibri" w:hAnsi="Calibri" w:cs="Calibri"/>
      <w:sz w:val="22"/>
      <w:szCs w:val="22"/>
      <w:lang w:eastAsia="id-ID"/>
    </w:rPr>
  </w:style>
  <w:style w:type="table" w:styleId="PlainTable2">
    <w:name w:val="Plain Table 2"/>
    <w:basedOn w:val="TableNormal"/>
    <w:uiPriority w:val="42"/>
    <w:rsid w:val="00F61CFD"/>
    <w:rPr>
      <w:rFonts w:ascii="Arial" w:eastAsia="Arial" w:hAnsi="Arial" w:cs="Arial"/>
      <w:sz w:val="22"/>
      <w:szCs w:val="22"/>
      <w:lang w:val="en"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D85B30"/>
    <w:rPr>
      <w:b/>
      <w:bCs/>
    </w:rPr>
  </w:style>
  <w:style w:type="paragraph" w:styleId="HTMLPreformatted">
    <w:name w:val="HTML Preformatted"/>
    <w:basedOn w:val="Normal"/>
    <w:link w:val="HTMLPreformattedChar"/>
    <w:uiPriority w:val="99"/>
    <w:unhideWhenUsed/>
    <w:rsid w:val="00616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zh-CN"/>
    </w:rPr>
  </w:style>
  <w:style w:type="character" w:customStyle="1" w:styleId="HTMLPreformattedChar">
    <w:name w:val="HTML Preformatted Char"/>
    <w:basedOn w:val="DefaultParagraphFont"/>
    <w:link w:val="HTMLPreformatted"/>
    <w:uiPriority w:val="99"/>
    <w:rsid w:val="006160C3"/>
    <w:rPr>
      <w:rFonts w:ascii="Courier New" w:eastAsia="Times New Roman" w:hAnsi="Courier New" w:cs="Courier New"/>
      <w:lang w:val="zh-CN" w:eastAsia="en-US"/>
    </w:rPr>
  </w:style>
  <w:style w:type="character" w:customStyle="1" w:styleId="apple-tab-span">
    <w:name w:val="apple-tab-span"/>
    <w:basedOn w:val="DefaultParagraphFont"/>
    <w:rsid w:val="006160C3"/>
  </w:style>
  <w:style w:type="paragraph" w:styleId="TableofFigures">
    <w:name w:val="table of figures"/>
    <w:aliases w:val="DAFTAR LAMPIRAN"/>
    <w:basedOn w:val="Normal"/>
    <w:next w:val="Normal"/>
    <w:uiPriority w:val="99"/>
    <w:unhideWhenUsed/>
    <w:qFormat/>
    <w:locked/>
    <w:rsid w:val="00CC31DC"/>
    <w:pPr>
      <w:spacing w:line="276" w:lineRule="auto"/>
    </w:pPr>
    <w:rPr>
      <w:rFonts w:ascii="Times New Roman" w:eastAsiaTheme="minorHAnsi" w:hAnsi="Times New Roman"/>
      <w:color w:val="000000" w:themeColor="text1"/>
      <w:szCs w:val="22"/>
    </w:rPr>
  </w:style>
  <w:style w:type="paragraph" w:customStyle="1" w:styleId="JudulAuthorKorespondensi">
    <w:name w:val="Judul Author Korespondensi"/>
    <w:basedOn w:val="Normal"/>
    <w:link w:val="JudulAuthorKorespondensiKAR"/>
    <w:qFormat/>
    <w:rsid w:val="00704BDD"/>
    <w:pPr>
      <w:jc w:val="right"/>
    </w:pPr>
    <w:rPr>
      <w:rFonts w:ascii="Cambria" w:eastAsiaTheme="minorHAnsi" w:hAnsi="Cambria" w:cs="Arial"/>
      <w:b/>
      <w:sz w:val="20"/>
      <w:szCs w:val="20"/>
      <w:lang w:val="fi-FI"/>
    </w:rPr>
  </w:style>
  <w:style w:type="character" w:customStyle="1" w:styleId="JudulAuthorKorespondensiKAR">
    <w:name w:val="Judul Author Korespondensi KAR"/>
    <w:basedOn w:val="DefaultParagraphFont"/>
    <w:link w:val="JudulAuthorKorespondensi"/>
    <w:rsid w:val="00704BDD"/>
    <w:rPr>
      <w:rFonts w:ascii="Cambria" w:eastAsiaTheme="minorHAnsi" w:hAnsi="Cambria" w:cs="Arial"/>
      <w:b/>
      <w:lang w:val="fi-FI" w:eastAsia="en-US"/>
    </w:rPr>
  </w:style>
  <w:style w:type="paragraph" w:customStyle="1" w:styleId="ArticleTitle">
    <w:name w:val="Article Title"/>
    <w:basedOn w:val="Normal"/>
    <w:link w:val="ArticleTitleChar"/>
    <w:qFormat/>
    <w:rsid w:val="00CA4F76"/>
    <w:pPr>
      <w:jc w:val="center"/>
    </w:pPr>
    <w:rPr>
      <w:rFonts w:ascii="Arial" w:eastAsiaTheme="minorHAnsi" w:hAnsi="Arial" w:cs="Arial"/>
      <w:i/>
      <w:iCs/>
      <w:sz w:val="20"/>
      <w:szCs w:val="20"/>
      <w:lang w:val="en-ID"/>
    </w:rPr>
  </w:style>
  <w:style w:type="character" w:customStyle="1" w:styleId="ArticleTitleChar">
    <w:name w:val="Article Title Char"/>
    <w:basedOn w:val="DefaultParagraphFont"/>
    <w:link w:val="ArticleTitle"/>
    <w:rsid w:val="00CA4F76"/>
    <w:rPr>
      <w:rFonts w:ascii="Arial" w:eastAsiaTheme="minorHAnsi" w:hAnsi="Arial" w:cs="Arial"/>
      <w:i/>
      <w:iCs/>
      <w:lang w:val="en-ID" w:eastAsia="en-US"/>
    </w:rPr>
  </w:style>
  <w:style w:type="character" w:customStyle="1" w:styleId="value">
    <w:name w:val="value"/>
    <w:basedOn w:val="DefaultParagraphFont"/>
    <w:rsid w:val="00CA4F76"/>
  </w:style>
  <w:style w:type="paragraph" w:customStyle="1" w:styleId="JudulCorrespondingAuthor">
    <w:name w:val="Judul Corresponding Author"/>
    <w:basedOn w:val="Korespondensi"/>
    <w:qFormat/>
    <w:rsid w:val="00704BDD"/>
    <w:pPr>
      <w:jc w:val="right"/>
    </w:pPr>
    <w:rPr>
      <w:b/>
      <w:bCs/>
      <w:color w:val="4472C4" w:themeColor="accent1"/>
    </w:rPr>
  </w:style>
  <w:style w:type="paragraph" w:customStyle="1" w:styleId="IsiCorrespondingAuthor">
    <w:name w:val="Isi Corresponding Author"/>
    <w:basedOn w:val="Korespondensi"/>
    <w:qFormat/>
    <w:rsid w:val="00704BDD"/>
    <w:pPr>
      <w:jc w:val="right"/>
    </w:pPr>
  </w:style>
  <w:style w:type="paragraph" w:customStyle="1" w:styleId="FootnoteTabel">
    <w:name w:val="Footnote Tabel"/>
    <w:basedOn w:val="IsiNaskah"/>
    <w:qFormat/>
    <w:rsid w:val="00F80A6A"/>
    <w:pPr>
      <w:spacing w:before="60" w:after="60" w:line="240" w:lineRule="auto"/>
      <w:ind w:firstLine="0"/>
      <w:jc w:val="left"/>
    </w:pPr>
    <w:rPr>
      <w:iCs/>
      <w:sz w:val="16"/>
    </w:rPr>
  </w:style>
  <w:style w:type="paragraph" w:customStyle="1" w:styleId="JudulKataKunci">
    <w:name w:val="Judul Kata Kunci"/>
    <w:basedOn w:val="KataKunci"/>
    <w:link w:val="JudulKataKunciKAR"/>
    <w:qFormat/>
    <w:rsid w:val="00645166"/>
    <w:rPr>
      <w:b/>
      <w:bCs w:val="0"/>
      <w:sz w:val="22"/>
    </w:rPr>
  </w:style>
  <w:style w:type="character" w:customStyle="1" w:styleId="JudulKataKunciKAR">
    <w:name w:val="Judul Kata Kunci KAR"/>
    <w:basedOn w:val="KataKunciChar"/>
    <w:link w:val="JudulKataKunci"/>
    <w:rsid w:val="00645166"/>
    <w:rPr>
      <w:rFonts w:ascii="Cambria" w:hAnsi="Cambria" w:cs="Times New Roman"/>
      <w:b/>
      <w:bCs w:val="0"/>
      <w:color w:val="009999"/>
      <w:sz w:val="22"/>
      <w:lang w:val="en-US" w:eastAsia="en-US"/>
    </w:rPr>
  </w:style>
  <w:style w:type="paragraph" w:customStyle="1" w:styleId="DOI">
    <w:name w:val="DOI"/>
    <w:basedOn w:val="KataKunci"/>
    <w:link w:val="DOIKAR"/>
    <w:qFormat/>
    <w:rsid w:val="00FF2C0F"/>
    <w:pPr>
      <w:jc w:val="center"/>
    </w:pPr>
    <w:rPr>
      <w:color w:val="auto"/>
      <w:sz w:val="16"/>
    </w:rPr>
  </w:style>
  <w:style w:type="character" w:customStyle="1" w:styleId="DOIKAR">
    <w:name w:val="DOI KAR"/>
    <w:basedOn w:val="KataKunciChar"/>
    <w:link w:val="DOI"/>
    <w:rsid w:val="00FF2C0F"/>
    <w:rPr>
      <w:rFonts w:ascii="Cambria" w:hAnsi="Cambria" w:cs="Times New Roman"/>
      <w:bCs/>
      <w:color w:val="009999"/>
      <w:sz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8420">
      <w:bodyDiv w:val="1"/>
      <w:marLeft w:val="0"/>
      <w:marRight w:val="0"/>
      <w:marTop w:val="0"/>
      <w:marBottom w:val="0"/>
      <w:divBdr>
        <w:top w:val="none" w:sz="0" w:space="0" w:color="auto"/>
        <w:left w:val="none" w:sz="0" w:space="0" w:color="auto"/>
        <w:bottom w:val="none" w:sz="0" w:space="0" w:color="auto"/>
        <w:right w:val="none" w:sz="0" w:space="0" w:color="auto"/>
      </w:divBdr>
    </w:div>
    <w:div w:id="63838330">
      <w:bodyDiv w:val="1"/>
      <w:marLeft w:val="0"/>
      <w:marRight w:val="0"/>
      <w:marTop w:val="0"/>
      <w:marBottom w:val="0"/>
      <w:divBdr>
        <w:top w:val="none" w:sz="0" w:space="0" w:color="auto"/>
        <w:left w:val="none" w:sz="0" w:space="0" w:color="auto"/>
        <w:bottom w:val="none" w:sz="0" w:space="0" w:color="auto"/>
        <w:right w:val="none" w:sz="0" w:space="0" w:color="auto"/>
      </w:divBdr>
    </w:div>
    <w:div w:id="133260000">
      <w:bodyDiv w:val="1"/>
      <w:marLeft w:val="0"/>
      <w:marRight w:val="0"/>
      <w:marTop w:val="0"/>
      <w:marBottom w:val="0"/>
      <w:divBdr>
        <w:top w:val="none" w:sz="0" w:space="0" w:color="auto"/>
        <w:left w:val="none" w:sz="0" w:space="0" w:color="auto"/>
        <w:bottom w:val="none" w:sz="0" w:space="0" w:color="auto"/>
        <w:right w:val="none" w:sz="0" w:space="0" w:color="auto"/>
      </w:divBdr>
    </w:div>
    <w:div w:id="135100643">
      <w:bodyDiv w:val="1"/>
      <w:marLeft w:val="0"/>
      <w:marRight w:val="0"/>
      <w:marTop w:val="0"/>
      <w:marBottom w:val="0"/>
      <w:divBdr>
        <w:top w:val="none" w:sz="0" w:space="0" w:color="auto"/>
        <w:left w:val="none" w:sz="0" w:space="0" w:color="auto"/>
        <w:bottom w:val="none" w:sz="0" w:space="0" w:color="auto"/>
        <w:right w:val="none" w:sz="0" w:space="0" w:color="auto"/>
      </w:divBdr>
    </w:div>
    <w:div w:id="200630265">
      <w:bodyDiv w:val="1"/>
      <w:marLeft w:val="0"/>
      <w:marRight w:val="0"/>
      <w:marTop w:val="0"/>
      <w:marBottom w:val="0"/>
      <w:divBdr>
        <w:top w:val="none" w:sz="0" w:space="0" w:color="auto"/>
        <w:left w:val="none" w:sz="0" w:space="0" w:color="auto"/>
        <w:bottom w:val="none" w:sz="0" w:space="0" w:color="auto"/>
        <w:right w:val="none" w:sz="0" w:space="0" w:color="auto"/>
      </w:divBdr>
    </w:div>
    <w:div w:id="236093311">
      <w:bodyDiv w:val="1"/>
      <w:marLeft w:val="0"/>
      <w:marRight w:val="0"/>
      <w:marTop w:val="0"/>
      <w:marBottom w:val="0"/>
      <w:divBdr>
        <w:top w:val="none" w:sz="0" w:space="0" w:color="auto"/>
        <w:left w:val="none" w:sz="0" w:space="0" w:color="auto"/>
        <w:bottom w:val="none" w:sz="0" w:space="0" w:color="auto"/>
        <w:right w:val="none" w:sz="0" w:space="0" w:color="auto"/>
      </w:divBdr>
    </w:div>
    <w:div w:id="294065720">
      <w:bodyDiv w:val="1"/>
      <w:marLeft w:val="0"/>
      <w:marRight w:val="0"/>
      <w:marTop w:val="0"/>
      <w:marBottom w:val="0"/>
      <w:divBdr>
        <w:top w:val="none" w:sz="0" w:space="0" w:color="auto"/>
        <w:left w:val="none" w:sz="0" w:space="0" w:color="auto"/>
        <w:bottom w:val="none" w:sz="0" w:space="0" w:color="auto"/>
        <w:right w:val="none" w:sz="0" w:space="0" w:color="auto"/>
      </w:divBdr>
    </w:div>
    <w:div w:id="384260777">
      <w:bodyDiv w:val="1"/>
      <w:marLeft w:val="0"/>
      <w:marRight w:val="0"/>
      <w:marTop w:val="0"/>
      <w:marBottom w:val="0"/>
      <w:divBdr>
        <w:top w:val="none" w:sz="0" w:space="0" w:color="auto"/>
        <w:left w:val="none" w:sz="0" w:space="0" w:color="auto"/>
        <w:bottom w:val="none" w:sz="0" w:space="0" w:color="auto"/>
        <w:right w:val="none" w:sz="0" w:space="0" w:color="auto"/>
      </w:divBdr>
    </w:div>
    <w:div w:id="443039881">
      <w:bodyDiv w:val="1"/>
      <w:marLeft w:val="0"/>
      <w:marRight w:val="0"/>
      <w:marTop w:val="0"/>
      <w:marBottom w:val="0"/>
      <w:divBdr>
        <w:top w:val="none" w:sz="0" w:space="0" w:color="auto"/>
        <w:left w:val="none" w:sz="0" w:space="0" w:color="auto"/>
        <w:bottom w:val="none" w:sz="0" w:space="0" w:color="auto"/>
        <w:right w:val="none" w:sz="0" w:space="0" w:color="auto"/>
      </w:divBdr>
    </w:div>
    <w:div w:id="445080083">
      <w:bodyDiv w:val="1"/>
      <w:marLeft w:val="0"/>
      <w:marRight w:val="0"/>
      <w:marTop w:val="0"/>
      <w:marBottom w:val="0"/>
      <w:divBdr>
        <w:top w:val="none" w:sz="0" w:space="0" w:color="auto"/>
        <w:left w:val="none" w:sz="0" w:space="0" w:color="auto"/>
        <w:bottom w:val="none" w:sz="0" w:space="0" w:color="auto"/>
        <w:right w:val="none" w:sz="0" w:space="0" w:color="auto"/>
      </w:divBdr>
    </w:div>
    <w:div w:id="500046000">
      <w:bodyDiv w:val="1"/>
      <w:marLeft w:val="0"/>
      <w:marRight w:val="0"/>
      <w:marTop w:val="0"/>
      <w:marBottom w:val="0"/>
      <w:divBdr>
        <w:top w:val="none" w:sz="0" w:space="0" w:color="auto"/>
        <w:left w:val="none" w:sz="0" w:space="0" w:color="auto"/>
        <w:bottom w:val="none" w:sz="0" w:space="0" w:color="auto"/>
        <w:right w:val="none" w:sz="0" w:space="0" w:color="auto"/>
      </w:divBdr>
    </w:div>
    <w:div w:id="506597879">
      <w:bodyDiv w:val="1"/>
      <w:marLeft w:val="0"/>
      <w:marRight w:val="0"/>
      <w:marTop w:val="0"/>
      <w:marBottom w:val="0"/>
      <w:divBdr>
        <w:top w:val="none" w:sz="0" w:space="0" w:color="auto"/>
        <w:left w:val="none" w:sz="0" w:space="0" w:color="auto"/>
        <w:bottom w:val="none" w:sz="0" w:space="0" w:color="auto"/>
        <w:right w:val="none" w:sz="0" w:space="0" w:color="auto"/>
      </w:divBdr>
    </w:div>
    <w:div w:id="611322659">
      <w:bodyDiv w:val="1"/>
      <w:marLeft w:val="0"/>
      <w:marRight w:val="0"/>
      <w:marTop w:val="0"/>
      <w:marBottom w:val="0"/>
      <w:divBdr>
        <w:top w:val="none" w:sz="0" w:space="0" w:color="auto"/>
        <w:left w:val="none" w:sz="0" w:space="0" w:color="auto"/>
        <w:bottom w:val="none" w:sz="0" w:space="0" w:color="auto"/>
        <w:right w:val="none" w:sz="0" w:space="0" w:color="auto"/>
      </w:divBdr>
    </w:div>
    <w:div w:id="626667030">
      <w:bodyDiv w:val="1"/>
      <w:marLeft w:val="0"/>
      <w:marRight w:val="0"/>
      <w:marTop w:val="0"/>
      <w:marBottom w:val="0"/>
      <w:divBdr>
        <w:top w:val="none" w:sz="0" w:space="0" w:color="auto"/>
        <w:left w:val="none" w:sz="0" w:space="0" w:color="auto"/>
        <w:bottom w:val="none" w:sz="0" w:space="0" w:color="auto"/>
        <w:right w:val="none" w:sz="0" w:space="0" w:color="auto"/>
      </w:divBdr>
    </w:div>
    <w:div w:id="627666433">
      <w:bodyDiv w:val="1"/>
      <w:marLeft w:val="0"/>
      <w:marRight w:val="0"/>
      <w:marTop w:val="0"/>
      <w:marBottom w:val="0"/>
      <w:divBdr>
        <w:top w:val="none" w:sz="0" w:space="0" w:color="auto"/>
        <w:left w:val="none" w:sz="0" w:space="0" w:color="auto"/>
        <w:bottom w:val="none" w:sz="0" w:space="0" w:color="auto"/>
        <w:right w:val="none" w:sz="0" w:space="0" w:color="auto"/>
      </w:divBdr>
    </w:div>
    <w:div w:id="665091062">
      <w:bodyDiv w:val="1"/>
      <w:marLeft w:val="0"/>
      <w:marRight w:val="0"/>
      <w:marTop w:val="0"/>
      <w:marBottom w:val="0"/>
      <w:divBdr>
        <w:top w:val="none" w:sz="0" w:space="0" w:color="auto"/>
        <w:left w:val="none" w:sz="0" w:space="0" w:color="auto"/>
        <w:bottom w:val="none" w:sz="0" w:space="0" w:color="auto"/>
        <w:right w:val="none" w:sz="0" w:space="0" w:color="auto"/>
      </w:divBdr>
    </w:div>
    <w:div w:id="706878238">
      <w:bodyDiv w:val="1"/>
      <w:marLeft w:val="0"/>
      <w:marRight w:val="0"/>
      <w:marTop w:val="0"/>
      <w:marBottom w:val="0"/>
      <w:divBdr>
        <w:top w:val="none" w:sz="0" w:space="0" w:color="auto"/>
        <w:left w:val="none" w:sz="0" w:space="0" w:color="auto"/>
        <w:bottom w:val="none" w:sz="0" w:space="0" w:color="auto"/>
        <w:right w:val="none" w:sz="0" w:space="0" w:color="auto"/>
      </w:divBdr>
    </w:div>
    <w:div w:id="721635291">
      <w:bodyDiv w:val="1"/>
      <w:marLeft w:val="0"/>
      <w:marRight w:val="0"/>
      <w:marTop w:val="0"/>
      <w:marBottom w:val="0"/>
      <w:divBdr>
        <w:top w:val="none" w:sz="0" w:space="0" w:color="auto"/>
        <w:left w:val="none" w:sz="0" w:space="0" w:color="auto"/>
        <w:bottom w:val="none" w:sz="0" w:space="0" w:color="auto"/>
        <w:right w:val="none" w:sz="0" w:space="0" w:color="auto"/>
      </w:divBdr>
    </w:div>
    <w:div w:id="728110871">
      <w:bodyDiv w:val="1"/>
      <w:marLeft w:val="0"/>
      <w:marRight w:val="0"/>
      <w:marTop w:val="0"/>
      <w:marBottom w:val="0"/>
      <w:divBdr>
        <w:top w:val="none" w:sz="0" w:space="0" w:color="auto"/>
        <w:left w:val="none" w:sz="0" w:space="0" w:color="auto"/>
        <w:bottom w:val="none" w:sz="0" w:space="0" w:color="auto"/>
        <w:right w:val="none" w:sz="0" w:space="0" w:color="auto"/>
      </w:divBdr>
    </w:div>
    <w:div w:id="768698017">
      <w:bodyDiv w:val="1"/>
      <w:marLeft w:val="0"/>
      <w:marRight w:val="0"/>
      <w:marTop w:val="0"/>
      <w:marBottom w:val="0"/>
      <w:divBdr>
        <w:top w:val="none" w:sz="0" w:space="0" w:color="auto"/>
        <w:left w:val="none" w:sz="0" w:space="0" w:color="auto"/>
        <w:bottom w:val="none" w:sz="0" w:space="0" w:color="auto"/>
        <w:right w:val="none" w:sz="0" w:space="0" w:color="auto"/>
      </w:divBdr>
    </w:div>
    <w:div w:id="796293454">
      <w:bodyDiv w:val="1"/>
      <w:marLeft w:val="0"/>
      <w:marRight w:val="0"/>
      <w:marTop w:val="0"/>
      <w:marBottom w:val="0"/>
      <w:divBdr>
        <w:top w:val="none" w:sz="0" w:space="0" w:color="auto"/>
        <w:left w:val="none" w:sz="0" w:space="0" w:color="auto"/>
        <w:bottom w:val="none" w:sz="0" w:space="0" w:color="auto"/>
        <w:right w:val="none" w:sz="0" w:space="0" w:color="auto"/>
      </w:divBdr>
    </w:div>
    <w:div w:id="819689784">
      <w:bodyDiv w:val="1"/>
      <w:marLeft w:val="0"/>
      <w:marRight w:val="0"/>
      <w:marTop w:val="0"/>
      <w:marBottom w:val="0"/>
      <w:divBdr>
        <w:top w:val="none" w:sz="0" w:space="0" w:color="auto"/>
        <w:left w:val="none" w:sz="0" w:space="0" w:color="auto"/>
        <w:bottom w:val="none" w:sz="0" w:space="0" w:color="auto"/>
        <w:right w:val="none" w:sz="0" w:space="0" w:color="auto"/>
      </w:divBdr>
    </w:div>
    <w:div w:id="873230448">
      <w:bodyDiv w:val="1"/>
      <w:marLeft w:val="0"/>
      <w:marRight w:val="0"/>
      <w:marTop w:val="0"/>
      <w:marBottom w:val="0"/>
      <w:divBdr>
        <w:top w:val="none" w:sz="0" w:space="0" w:color="auto"/>
        <w:left w:val="none" w:sz="0" w:space="0" w:color="auto"/>
        <w:bottom w:val="none" w:sz="0" w:space="0" w:color="auto"/>
        <w:right w:val="none" w:sz="0" w:space="0" w:color="auto"/>
      </w:divBdr>
    </w:div>
    <w:div w:id="875313562">
      <w:bodyDiv w:val="1"/>
      <w:marLeft w:val="0"/>
      <w:marRight w:val="0"/>
      <w:marTop w:val="0"/>
      <w:marBottom w:val="0"/>
      <w:divBdr>
        <w:top w:val="none" w:sz="0" w:space="0" w:color="auto"/>
        <w:left w:val="none" w:sz="0" w:space="0" w:color="auto"/>
        <w:bottom w:val="none" w:sz="0" w:space="0" w:color="auto"/>
        <w:right w:val="none" w:sz="0" w:space="0" w:color="auto"/>
      </w:divBdr>
    </w:div>
    <w:div w:id="1007319741">
      <w:bodyDiv w:val="1"/>
      <w:marLeft w:val="0"/>
      <w:marRight w:val="0"/>
      <w:marTop w:val="0"/>
      <w:marBottom w:val="0"/>
      <w:divBdr>
        <w:top w:val="none" w:sz="0" w:space="0" w:color="auto"/>
        <w:left w:val="none" w:sz="0" w:space="0" w:color="auto"/>
        <w:bottom w:val="none" w:sz="0" w:space="0" w:color="auto"/>
        <w:right w:val="none" w:sz="0" w:space="0" w:color="auto"/>
      </w:divBdr>
    </w:div>
    <w:div w:id="1044526352">
      <w:bodyDiv w:val="1"/>
      <w:marLeft w:val="0"/>
      <w:marRight w:val="0"/>
      <w:marTop w:val="0"/>
      <w:marBottom w:val="0"/>
      <w:divBdr>
        <w:top w:val="none" w:sz="0" w:space="0" w:color="auto"/>
        <w:left w:val="none" w:sz="0" w:space="0" w:color="auto"/>
        <w:bottom w:val="none" w:sz="0" w:space="0" w:color="auto"/>
        <w:right w:val="none" w:sz="0" w:space="0" w:color="auto"/>
      </w:divBdr>
    </w:div>
    <w:div w:id="1100489194">
      <w:bodyDiv w:val="1"/>
      <w:marLeft w:val="0"/>
      <w:marRight w:val="0"/>
      <w:marTop w:val="0"/>
      <w:marBottom w:val="0"/>
      <w:divBdr>
        <w:top w:val="none" w:sz="0" w:space="0" w:color="auto"/>
        <w:left w:val="none" w:sz="0" w:space="0" w:color="auto"/>
        <w:bottom w:val="none" w:sz="0" w:space="0" w:color="auto"/>
        <w:right w:val="none" w:sz="0" w:space="0" w:color="auto"/>
      </w:divBdr>
    </w:div>
    <w:div w:id="1134373343">
      <w:bodyDiv w:val="1"/>
      <w:marLeft w:val="0"/>
      <w:marRight w:val="0"/>
      <w:marTop w:val="0"/>
      <w:marBottom w:val="0"/>
      <w:divBdr>
        <w:top w:val="none" w:sz="0" w:space="0" w:color="auto"/>
        <w:left w:val="none" w:sz="0" w:space="0" w:color="auto"/>
        <w:bottom w:val="none" w:sz="0" w:space="0" w:color="auto"/>
        <w:right w:val="none" w:sz="0" w:space="0" w:color="auto"/>
      </w:divBdr>
    </w:div>
    <w:div w:id="1164903742">
      <w:bodyDiv w:val="1"/>
      <w:marLeft w:val="0"/>
      <w:marRight w:val="0"/>
      <w:marTop w:val="0"/>
      <w:marBottom w:val="0"/>
      <w:divBdr>
        <w:top w:val="none" w:sz="0" w:space="0" w:color="auto"/>
        <w:left w:val="none" w:sz="0" w:space="0" w:color="auto"/>
        <w:bottom w:val="none" w:sz="0" w:space="0" w:color="auto"/>
        <w:right w:val="none" w:sz="0" w:space="0" w:color="auto"/>
      </w:divBdr>
    </w:div>
    <w:div w:id="1199663681">
      <w:bodyDiv w:val="1"/>
      <w:marLeft w:val="0"/>
      <w:marRight w:val="0"/>
      <w:marTop w:val="0"/>
      <w:marBottom w:val="0"/>
      <w:divBdr>
        <w:top w:val="none" w:sz="0" w:space="0" w:color="auto"/>
        <w:left w:val="none" w:sz="0" w:space="0" w:color="auto"/>
        <w:bottom w:val="none" w:sz="0" w:space="0" w:color="auto"/>
        <w:right w:val="none" w:sz="0" w:space="0" w:color="auto"/>
      </w:divBdr>
    </w:div>
    <w:div w:id="1230381302">
      <w:bodyDiv w:val="1"/>
      <w:marLeft w:val="0"/>
      <w:marRight w:val="0"/>
      <w:marTop w:val="0"/>
      <w:marBottom w:val="0"/>
      <w:divBdr>
        <w:top w:val="none" w:sz="0" w:space="0" w:color="auto"/>
        <w:left w:val="none" w:sz="0" w:space="0" w:color="auto"/>
        <w:bottom w:val="none" w:sz="0" w:space="0" w:color="auto"/>
        <w:right w:val="none" w:sz="0" w:space="0" w:color="auto"/>
      </w:divBdr>
    </w:div>
    <w:div w:id="1238709144">
      <w:bodyDiv w:val="1"/>
      <w:marLeft w:val="0"/>
      <w:marRight w:val="0"/>
      <w:marTop w:val="0"/>
      <w:marBottom w:val="0"/>
      <w:divBdr>
        <w:top w:val="none" w:sz="0" w:space="0" w:color="auto"/>
        <w:left w:val="none" w:sz="0" w:space="0" w:color="auto"/>
        <w:bottom w:val="none" w:sz="0" w:space="0" w:color="auto"/>
        <w:right w:val="none" w:sz="0" w:space="0" w:color="auto"/>
      </w:divBdr>
    </w:div>
    <w:div w:id="1269510263">
      <w:bodyDiv w:val="1"/>
      <w:marLeft w:val="0"/>
      <w:marRight w:val="0"/>
      <w:marTop w:val="0"/>
      <w:marBottom w:val="0"/>
      <w:divBdr>
        <w:top w:val="none" w:sz="0" w:space="0" w:color="auto"/>
        <w:left w:val="none" w:sz="0" w:space="0" w:color="auto"/>
        <w:bottom w:val="none" w:sz="0" w:space="0" w:color="auto"/>
        <w:right w:val="none" w:sz="0" w:space="0" w:color="auto"/>
      </w:divBdr>
    </w:div>
    <w:div w:id="1301036863">
      <w:bodyDiv w:val="1"/>
      <w:marLeft w:val="0"/>
      <w:marRight w:val="0"/>
      <w:marTop w:val="0"/>
      <w:marBottom w:val="0"/>
      <w:divBdr>
        <w:top w:val="none" w:sz="0" w:space="0" w:color="auto"/>
        <w:left w:val="none" w:sz="0" w:space="0" w:color="auto"/>
        <w:bottom w:val="none" w:sz="0" w:space="0" w:color="auto"/>
        <w:right w:val="none" w:sz="0" w:space="0" w:color="auto"/>
      </w:divBdr>
    </w:div>
    <w:div w:id="1312245773">
      <w:bodyDiv w:val="1"/>
      <w:marLeft w:val="0"/>
      <w:marRight w:val="0"/>
      <w:marTop w:val="0"/>
      <w:marBottom w:val="0"/>
      <w:divBdr>
        <w:top w:val="none" w:sz="0" w:space="0" w:color="auto"/>
        <w:left w:val="none" w:sz="0" w:space="0" w:color="auto"/>
        <w:bottom w:val="none" w:sz="0" w:space="0" w:color="auto"/>
        <w:right w:val="none" w:sz="0" w:space="0" w:color="auto"/>
      </w:divBdr>
      <w:divsChild>
        <w:div w:id="298535947">
          <w:marLeft w:val="0"/>
          <w:marRight w:val="0"/>
          <w:marTop w:val="0"/>
          <w:marBottom w:val="0"/>
          <w:divBdr>
            <w:top w:val="none" w:sz="0" w:space="0" w:color="auto"/>
            <w:left w:val="none" w:sz="0" w:space="0" w:color="auto"/>
            <w:bottom w:val="none" w:sz="0" w:space="0" w:color="auto"/>
            <w:right w:val="none" w:sz="0" w:space="0" w:color="auto"/>
          </w:divBdr>
        </w:div>
      </w:divsChild>
    </w:div>
    <w:div w:id="1328165854">
      <w:bodyDiv w:val="1"/>
      <w:marLeft w:val="0"/>
      <w:marRight w:val="0"/>
      <w:marTop w:val="0"/>
      <w:marBottom w:val="0"/>
      <w:divBdr>
        <w:top w:val="none" w:sz="0" w:space="0" w:color="auto"/>
        <w:left w:val="none" w:sz="0" w:space="0" w:color="auto"/>
        <w:bottom w:val="none" w:sz="0" w:space="0" w:color="auto"/>
        <w:right w:val="none" w:sz="0" w:space="0" w:color="auto"/>
      </w:divBdr>
    </w:div>
    <w:div w:id="1378512583">
      <w:bodyDiv w:val="1"/>
      <w:marLeft w:val="0"/>
      <w:marRight w:val="0"/>
      <w:marTop w:val="0"/>
      <w:marBottom w:val="0"/>
      <w:divBdr>
        <w:top w:val="none" w:sz="0" w:space="0" w:color="auto"/>
        <w:left w:val="none" w:sz="0" w:space="0" w:color="auto"/>
        <w:bottom w:val="none" w:sz="0" w:space="0" w:color="auto"/>
        <w:right w:val="none" w:sz="0" w:space="0" w:color="auto"/>
      </w:divBdr>
    </w:div>
    <w:div w:id="1566604150">
      <w:bodyDiv w:val="1"/>
      <w:marLeft w:val="0"/>
      <w:marRight w:val="0"/>
      <w:marTop w:val="0"/>
      <w:marBottom w:val="0"/>
      <w:divBdr>
        <w:top w:val="none" w:sz="0" w:space="0" w:color="auto"/>
        <w:left w:val="none" w:sz="0" w:space="0" w:color="auto"/>
        <w:bottom w:val="none" w:sz="0" w:space="0" w:color="auto"/>
        <w:right w:val="none" w:sz="0" w:space="0" w:color="auto"/>
      </w:divBdr>
    </w:div>
    <w:div w:id="1658995988">
      <w:bodyDiv w:val="1"/>
      <w:marLeft w:val="0"/>
      <w:marRight w:val="0"/>
      <w:marTop w:val="0"/>
      <w:marBottom w:val="0"/>
      <w:divBdr>
        <w:top w:val="none" w:sz="0" w:space="0" w:color="auto"/>
        <w:left w:val="none" w:sz="0" w:space="0" w:color="auto"/>
        <w:bottom w:val="none" w:sz="0" w:space="0" w:color="auto"/>
        <w:right w:val="none" w:sz="0" w:space="0" w:color="auto"/>
      </w:divBdr>
    </w:div>
    <w:div w:id="1662849863">
      <w:bodyDiv w:val="1"/>
      <w:marLeft w:val="0"/>
      <w:marRight w:val="0"/>
      <w:marTop w:val="0"/>
      <w:marBottom w:val="0"/>
      <w:divBdr>
        <w:top w:val="none" w:sz="0" w:space="0" w:color="auto"/>
        <w:left w:val="none" w:sz="0" w:space="0" w:color="auto"/>
        <w:bottom w:val="none" w:sz="0" w:space="0" w:color="auto"/>
        <w:right w:val="none" w:sz="0" w:space="0" w:color="auto"/>
      </w:divBdr>
    </w:div>
    <w:div w:id="1714234840">
      <w:bodyDiv w:val="1"/>
      <w:marLeft w:val="0"/>
      <w:marRight w:val="0"/>
      <w:marTop w:val="0"/>
      <w:marBottom w:val="0"/>
      <w:divBdr>
        <w:top w:val="none" w:sz="0" w:space="0" w:color="auto"/>
        <w:left w:val="none" w:sz="0" w:space="0" w:color="auto"/>
        <w:bottom w:val="none" w:sz="0" w:space="0" w:color="auto"/>
        <w:right w:val="none" w:sz="0" w:space="0" w:color="auto"/>
      </w:divBdr>
    </w:div>
    <w:div w:id="1783107079">
      <w:bodyDiv w:val="1"/>
      <w:marLeft w:val="0"/>
      <w:marRight w:val="0"/>
      <w:marTop w:val="0"/>
      <w:marBottom w:val="0"/>
      <w:divBdr>
        <w:top w:val="none" w:sz="0" w:space="0" w:color="auto"/>
        <w:left w:val="none" w:sz="0" w:space="0" w:color="auto"/>
        <w:bottom w:val="none" w:sz="0" w:space="0" w:color="auto"/>
        <w:right w:val="none" w:sz="0" w:space="0" w:color="auto"/>
      </w:divBdr>
    </w:div>
    <w:div w:id="1820608782">
      <w:bodyDiv w:val="1"/>
      <w:marLeft w:val="0"/>
      <w:marRight w:val="0"/>
      <w:marTop w:val="0"/>
      <w:marBottom w:val="0"/>
      <w:divBdr>
        <w:top w:val="none" w:sz="0" w:space="0" w:color="auto"/>
        <w:left w:val="none" w:sz="0" w:space="0" w:color="auto"/>
        <w:bottom w:val="none" w:sz="0" w:space="0" w:color="auto"/>
        <w:right w:val="none" w:sz="0" w:space="0" w:color="auto"/>
      </w:divBdr>
    </w:div>
    <w:div w:id="1844053120">
      <w:bodyDiv w:val="1"/>
      <w:marLeft w:val="0"/>
      <w:marRight w:val="0"/>
      <w:marTop w:val="0"/>
      <w:marBottom w:val="0"/>
      <w:divBdr>
        <w:top w:val="none" w:sz="0" w:space="0" w:color="auto"/>
        <w:left w:val="none" w:sz="0" w:space="0" w:color="auto"/>
        <w:bottom w:val="none" w:sz="0" w:space="0" w:color="auto"/>
        <w:right w:val="none" w:sz="0" w:space="0" w:color="auto"/>
      </w:divBdr>
    </w:div>
    <w:div w:id="1860581480">
      <w:bodyDiv w:val="1"/>
      <w:marLeft w:val="0"/>
      <w:marRight w:val="0"/>
      <w:marTop w:val="0"/>
      <w:marBottom w:val="0"/>
      <w:divBdr>
        <w:top w:val="none" w:sz="0" w:space="0" w:color="auto"/>
        <w:left w:val="none" w:sz="0" w:space="0" w:color="auto"/>
        <w:bottom w:val="none" w:sz="0" w:space="0" w:color="auto"/>
        <w:right w:val="none" w:sz="0" w:space="0" w:color="auto"/>
      </w:divBdr>
    </w:div>
    <w:div w:id="1924290859">
      <w:bodyDiv w:val="1"/>
      <w:marLeft w:val="0"/>
      <w:marRight w:val="0"/>
      <w:marTop w:val="0"/>
      <w:marBottom w:val="0"/>
      <w:divBdr>
        <w:top w:val="none" w:sz="0" w:space="0" w:color="auto"/>
        <w:left w:val="none" w:sz="0" w:space="0" w:color="auto"/>
        <w:bottom w:val="none" w:sz="0" w:space="0" w:color="auto"/>
        <w:right w:val="none" w:sz="0" w:space="0" w:color="auto"/>
      </w:divBdr>
    </w:div>
    <w:div w:id="1961296369">
      <w:bodyDiv w:val="1"/>
      <w:marLeft w:val="0"/>
      <w:marRight w:val="0"/>
      <w:marTop w:val="0"/>
      <w:marBottom w:val="0"/>
      <w:divBdr>
        <w:top w:val="none" w:sz="0" w:space="0" w:color="auto"/>
        <w:left w:val="none" w:sz="0" w:space="0" w:color="auto"/>
        <w:bottom w:val="none" w:sz="0" w:space="0" w:color="auto"/>
        <w:right w:val="none" w:sz="0" w:space="0" w:color="auto"/>
      </w:divBdr>
    </w:div>
    <w:div w:id="2000770659">
      <w:bodyDiv w:val="1"/>
      <w:marLeft w:val="0"/>
      <w:marRight w:val="0"/>
      <w:marTop w:val="0"/>
      <w:marBottom w:val="0"/>
      <w:divBdr>
        <w:top w:val="none" w:sz="0" w:space="0" w:color="auto"/>
        <w:left w:val="none" w:sz="0" w:space="0" w:color="auto"/>
        <w:bottom w:val="none" w:sz="0" w:space="0" w:color="auto"/>
        <w:right w:val="none" w:sz="0" w:space="0" w:color="auto"/>
      </w:divBdr>
    </w:div>
    <w:div w:id="2099672655">
      <w:bodyDiv w:val="1"/>
      <w:marLeft w:val="0"/>
      <w:marRight w:val="0"/>
      <w:marTop w:val="0"/>
      <w:marBottom w:val="0"/>
      <w:divBdr>
        <w:top w:val="none" w:sz="0" w:space="0" w:color="auto"/>
        <w:left w:val="none" w:sz="0" w:space="0" w:color="auto"/>
        <w:bottom w:val="none" w:sz="0" w:space="0" w:color="auto"/>
        <w:right w:val="none" w:sz="0" w:space="0" w:color="auto"/>
      </w:divBdr>
    </w:div>
    <w:div w:id="2102296434">
      <w:bodyDiv w:val="1"/>
      <w:marLeft w:val="0"/>
      <w:marRight w:val="0"/>
      <w:marTop w:val="0"/>
      <w:marBottom w:val="0"/>
      <w:divBdr>
        <w:top w:val="none" w:sz="0" w:space="0" w:color="auto"/>
        <w:left w:val="none" w:sz="0" w:space="0" w:color="auto"/>
        <w:bottom w:val="none" w:sz="0" w:space="0" w:color="auto"/>
        <w:right w:val="none" w:sz="0" w:space="0" w:color="auto"/>
      </w:divBdr>
    </w:div>
    <w:div w:id="2111925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78BC548-ED1A-4945-BD24-4BB5B9B3F7AA}">
  <we:reference id="wa200002492" version="1.0.0.3" store="en-GB" storeType="OMEX"/>
  <we:alternateReferences>
    <we:reference id="WA200002492" version="1.0.0.3" store="WA20000249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AB9D6-EF55-439E-9861-BF025D09C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2671</Words>
  <Characters>15229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2024-12-27T04:46:00Z</dcterms:created>
  <dcterms:modified xsi:type="dcterms:W3CDTF">2026-04-28T17:30:00Z</dcterms:modified>
</cp:coreProperties>
</file>