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3B6AA" w14:textId="14A2FB23" w:rsidR="006C664D" w:rsidRPr="00C94A70" w:rsidRDefault="00DF1190" w:rsidP="00903364">
      <w:pPr>
        <w:spacing w:after="0"/>
        <w:jc w:val="right"/>
        <w:rPr>
          <w:rFonts w:asciiTheme="minorHAnsi" w:hAnsiTheme="minorHAnsi" w:cstheme="minorHAnsi"/>
          <w:b/>
          <w:color w:val="595959" w:themeColor="text1" w:themeTint="A6"/>
          <w:sz w:val="18"/>
          <w:szCs w:val="18"/>
        </w:rPr>
      </w:pPr>
      <w:r w:rsidRPr="00C94A70">
        <w:rPr>
          <w:rFonts w:asciiTheme="minorHAnsi" w:hAnsiTheme="minorHAnsi" w:cstheme="minorHAnsi"/>
          <w:b/>
          <w:noProof/>
          <w:sz w:val="18"/>
          <w:szCs w:val="18"/>
        </w:rPr>
        <w:drawing>
          <wp:anchor distT="0" distB="0" distL="114300" distR="114300" simplePos="0" relativeHeight="251662336" behindDoc="1" locked="0" layoutInCell="1" allowOverlap="1" wp14:anchorId="1CFC621C" wp14:editId="677B72DE">
            <wp:simplePos x="0" y="0"/>
            <wp:positionH relativeFrom="column">
              <wp:posOffset>-705485</wp:posOffset>
            </wp:positionH>
            <wp:positionV relativeFrom="paragraph">
              <wp:posOffset>-711884</wp:posOffset>
            </wp:positionV>
            <wp:extent cx="7562850" cy="16217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INTo header.jpg"/>
                    <pic:cNvPicPr/>
                  </pic:nvPicPr>
                  <pic:blipFill>
                    <a:blip r:embed="rId8">
                      <a:extLst>
                        <a:ext uri="{28A0092B-C50C-407E-A947-70E740481C1C}">
                          <a14:useLocalDpi xmlns:a14="http://schemas.microsoft.com/office/drawing/2010/main" val="0"/>
                        </a:ext>
                      </a:extLst>
                    </a:blip>
                    <a:stretch>
                      <a:fillRect/>
                    </a:stretch>
                  </pic:blipFill>
                  <pic:spPr>
                    <a:xfrm>
                      <a:off x="0" y="0"/>
                      <a:ext cx="7562850" cy="1621790"/>
                    </a:xfrm>
                    <a:prstGeom prst="rect">
                      <a:avLst/>
                    </a:prstGeom>
                  </pic:spPr>
                </pic:pic>
              </a:graphicData>
            </a:graphic>
            <wp14:sizeRelH relativeFrom="margin">
              <wp14:pctWidth>0</wp14:pctWidth>
            </wp14:sizeRelH>
            <wp14:sizeRelV relativeFrom="margin">
              <wp14:pctHeight>0</wp14:pctHeight>
            </wp14:sizeRelV>
          </wp:anchor>
        </w:drawing>
      </w:r>
      <w:r w:rsidR="006C664D" w:rsidRPr="00C94A70">
        <w:rPr>
          <w:rFonts w:asciiTheme="minorHAnsi" w:hAnsiTheme="minorHAnsi" w:cstheme="minorHAnsi"/>
          <w:b/>
          <w:noProof/>
          <w:sz w:val="18"/>
          <w:szCs w:val="18"/>
        </w:rPr>
        <mc:AlternateContent>
          <mc:Choice Requires="wps">
            <w:drawing>
              <wp:anchor distT="45720" distB="45720" distL="114300" distR="114300" simplePos="0" relativeHeight="251665408" behindDoc="0" locked="0" layoutInCell="1" allowOverlap="1" wp14:anchorId="3B48152A" wp14:editId="1345B70F">
                <wp:simplePos x="0" y="0"/>
                <wp:positionH relativeFrom="column">
                  <wp:posOffset>6340104</wp:posOffset>
                </wp:positionH>
                <wp:positionV relativeFrom="paragraph">
                  <wp:posOffset>-685165</wp:posOffset>
                </wp:positionV>
                <wp:extent cx="472164" cy="1552754"/>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164" cy="1552754"/>
                        </a:xfrm>
                        <a:prstGeom prst="rect">
                          <a:avLst/>
                        </a:prstGeom>
                        <a:noFill/>
                        <a:ln w="9525">
                          <a:noFill/>
                          <a:miter lim="800000"/>
                          <a:headEnd/>
                          <a:tailEnd/>
                        </a:ln>
                      </wps:spPr>
                      <wps:txbx>
                        <w:txbxContent>
                          <w:p w14:paraId="53363D63" w14:textId="77777777" w:rsidR="005F09D3" w:rsidRPr="0048469E" w:rsidRDefault="005F09D3" w:rsidP="006C664D">
                            <w:pPr>
                              <w:spacing w:after="0" w:line="240" w:lineRule="auto"/>
                              <w:jc w:val="center"/>
                              <w:rPr>
                                <w:rFonts w:asciiTheme="minorHAnsi" w:hAnsiTheme="minorHAnsi" w:cstheme="minorHAnsi"/>
                                <w:b/>
                                <w:i/>
                                <w:color w:val="FFFFFF" w:themeColor="background1"/>
                              </w:rPr>
                            </w:pPr>
                            <w:r w:rsidRPr="0048469E">
                              <w:rPr>
                                <w:rFonts w:asciiTheme="minorHAnsi" w:hAnsiTheme="minorHAnsi" w:cstheme="minorHAnsi"/>
                                <w:b/>
                                <w:i/>
                                <w:color w:val="FFFFFF" w:themeColor="background1"/>
                              </w:rPr>
                              <w:t>Original Article</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8152A" id="_x0000_t202" coordsize="21600,21600" o:spt="202" path="m,l,21600r21600,l21600,xe">
                <v:stroke joinstyle="miter"/>
                <v:path gradientshapeok="t" o:connecttype="rect"/>
              </v:shapetype>
              <v:shape id="Text Box 2" o:spid="_x0000_s1026" type="#_x0000_t202" style="position:absolute;left:0;text-align:left;margin-left:499.2pt;margin-top:-53.95pt;width:37.2pt;height:12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" filled="f" stroked="f">
                <v:textbox style="layout-flow:vertical;mso-layout-flow-alt:bottom-to-top">
                  <w:txbxContent>
                    <w:p w14:paraId="53363D63" w14:textId="77777777" w:rsidR="005F09D3" w:rsidRPr="0048469E" w:rsidRDefault="005F09D3" w:rsidP="006C664D">
                      <w:pPr>
                        <w:spacing w:after="0" w:line="240" w:lineRule="auto"/>
                        <w:jc w:val="center"/>
                        <w:rPr>
                          <w:rFonts w:asciiTheme="minorHAnsi" w:hAnsiTheme="minorHAnsi" w:cstheme="minorHAnsi"/>
                          <w:b/>
                          <w:i/>
                          <w:color w:val="FFFFFF" w:themeColor="background1"/>
                        </w:rPr>
                      </w:pPr>
                      <w:r w:rsidRPr="0048469E">
                        <w:rPr>
                          <w:rFonts w:asciiTheme="minorHAnsi" w:hAnsiTheme="minorHAnsi" w:cstheme="minorHAnsi"/>
                          <w:b/>
                          <w:i/>
                          <w:color w:val="FFFFFF" w:themeColor="background1"/>
                        </w:rPr>
                        <w:t>Original Article</w:t>
                      </w:r>
                    </w:p>
                  </w:txbxContent>
                </v:textbox>
              </v:shape>
            </w:pict>
          </mc:Fallback>
        </mc:AlternateContent>
      </w:r>
      <w:r w:rsidR="006C664D" w:rsidRPr="00C94A70">
        <w:rPr>
          <w:rFonts w:asciiTheme="minorHAnsi" w:hAnsiTheme="minorHAnsi" w:cstheme="minorHAnsi"/>
          <w:b/>
          <w:noProof/>
          <w:sz w:val="18"/>
          <w:szCs w:val="18"/>
        </w:rPr>
        <mc:AlternateContent>
          <mc:Choice Requires="wps">
            <w:drawing>
              <wp:anchor distT="0" distB="0" distL="114300" distR="114300" simplePos="0" relativeHeight="251664384" behindDoc="0" locked="0" layoutInCell="1" allowOverlap="1" wp14:anchorId="377F948A" wp14:editId="1E73140D">
                <wp:simplePos x="0" y="0"/>
                <wp:positionH relativeFrom="column">
                  <wp:posOffset>12065</wp:posOffset>
                </wp:positionH>
                <wp:positionV relativeFrom="paragraph">
                  <wp:posOffset>-225425</wp:posOffset>
                </wp:positionV>
                <wp:extent cx="6066790" cy="0"/>
                <wp:effectExtent l="0" t="0" r="29210" b="19050"/>
                <wp:wrapNone/>
                <wp:docPr id="10" name="Straight Connector 10"/>
                <wp:cNvGraphicFramePr/>
                <a:graphic xmlns:a="http://schemas.openxmlformats.org/drawingml/2006/main">
                  <a:graphicData uri="http://schemas.microsoft.com/office/word/2010/wordprocessingShape">
                    <wps:wsp>
                      <wps:cNvCnPr/>
                      <wps:spPr>
                        <a:xfrm flipV="1">
                          <a:off x="0" y="0"/>
                          <a:ext cx="6066790"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920A19" id="Straight Connector 1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7.75pt" to="478.6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" strokecolor="#747070 [1614]" strokeweight="1.5pt">
                <v:stroke joinstyle="miter"/>
              </v:line>
            </w:pict>
          </mc:Fallback>
        </mc:AlternateContent>
      </w:r>
      <w:r w:rsidR="006C664D" w:rsidRPr="00C94A70">
        <w:rPr>
          <w:rFonts w:asciiTheme="minorHAnsi" w:hAnsiTheme="minorHAnsi" w:cstheme="minorHAnsi"/>
          <w:b/>
          <w:color w:val="595959" w:themeColor="text1" w:themeTint="A6"/>
          <w:sz w:val="18"/>
          <w:szCs w:val="18"/>
        </w:rPr>
        <w:t>Vo</w:t>
      </w:r>
      <w:r w:rsidR="00692685" w:rsidRPr="00C94A70">
        <w:rPr>
          <w:rFonts w:asciiTheme="minorHAnsi" w:hAnsiTheme="minorHAnsi" w:cstheme="minorHAnsi"/>
          <w:b/>
          <w:color w:val="595959" w:themeColor="text1" w:themeTint="A6"/>
          <w:sz w:val="18"/>
          <w:szCs w:val="18"/>
        </w:rPr>
        <w:t>l.</w:t>
      </w:r>
      <w:r w:rsidR="00832DBA" w:rsidRPr="00C94A70">
        <w:rPr>
          <w:rFonts w:asciiTheme="minorHAnsi" w:hAnsiTheme="minorHAnsi" w:cstheme="minorHAnsi"/>
          <w:b/>
          <w:color w:val="595959" w:themeColor="text1" w:themeTint="A6"/>
          <w:sz w:val="18"/>
          <w:szCs w:val="18"/>
        </w:rPr>
        <w:t>12</w:t>
      </w:r>
      <w:r w:rsidR="006C664D" w:rsidRPr="00C94A70">
        <w:rPr>
          <w:rFonts w:asciiTheme="minorHAnsi" w:hAnsiTheme="minorHAnsi" w:cstheme="minorHAnsi"/>
          <w:b/>
          <w:color w:val="595959" w:themeColor="text1" w:themeTint="A6"/>
          <w:sz w:val="18"/>
          <w:szCs w:val="18"/>
        </w:rPr>
        <w:t xml:space="preserve"> No</w:t>
      </w:r>
      <w:r w:rsidR="00692685" w:rsidRPr="00C94A70">
        <w:rPr>
          <w:rFonts w:asciiTheme="minorHAnsi" w:hAnsiTheme="minorHAnsi" w:cstheme="minorHAnsi"/>
          <w:b/>
          <w:color w:val="595959" w:themeColor="text1" w:themeTint="A6"/>
          <w:sz w:val="18"/>
          <w:szCs w:val="18"/>
        </w:rPr>
        <w:t>.</w:t>
      </w:r>
      <w:r w:rsidR="00832DBA" w:rsidRPr="00C94A70">
        <w:rPr>
          <w:rFonts w:asciiTheme="minorHAnsi" w:hAnsiTheme="minorHAnsi" w:cstheme="minorHAnsi"/>
          <w:b/>
          <w:color w:val="595959" w:themeColor="text1" w:themeTint="A6"/>
          <w:sz w:val="18"/>
          <w:szCs w:val="18"/>
        </w:rPr>
        <w:t>1</w:t>
      </w:r>
      <w:r w:rsidR="006C664D" w:rsidRPr="00C94A70">
        <w:rPr>
          <w:rFonts w:asciiTheme="minorHAnsi" w:hAnsiTheme="minorHAnsi" w:cstheme="minorHAnsi"/>
          <w:b/>
          <w:color w:val="595959" w:themeColor="text1" w:themeTint="A6"/>
          <w:sz w:val="18"/>
          <w:szCs w:val="18"/>
        </w:rPr>
        <w:t xml:space="preserve"> (</w:t>
      </w:r>
      <w:r w:rsidR="00832DBA" w:rsidRPr="00C94A70">
        <w:rPr>
          <w:rFonts w:asciiTheme="minorHAnsi" w:hAnsiTheme="minorHAnsi" w:cstheme="minorHAnsi"/>
          <w:b/>
          <w:color w:val="595959" w:themeColor="text1" w:themeTint="A6"/>
          <w:sz w:val="18"/>
          <w:szCs w:val="18"/>
        </w:rPr>
        <w:t>March 2026</w:t>
      </w:r>
      <w:r w:rsidR="006C664D" w:rsidRPr="00C94A70">
        <w:rPr>
          <w:rFonts w:asciiTheme="minorHAnsi" w:hAnsiTheme="minorHAnsi" w:cstheme="minorHAnsi"/>
          <w:b/>
          <w:color w:val="595959" w:themeColor="text1" w:themeTint="A6"/>
          <w:sz w:val="18"/>
          <w:szCs w:val="18"/>
        </w:rPr>
        <w:t>)</w:t>
      </w:r>
    </w:p>
    <w:p w14:paraId="6C435EF0" w14:textId="73DB36A7" w:rsidR="006C664D" w:rsidRPr="00C94A70" w:rsidRDefault="0089270C" w:rsidP="00903364">
      <w:pPr>
        <w:spacing w:after="0"/>
        <w:jc w:val="right"/>
        <w:rPr>
          <w:rFonts w:asciiTheme="minorHAnsi" w:hAnsiTheme="minorHAnsi" w:cstheme="minorHAnsi"/>
          <w:b/>
          <w:color w:val="595959" w:themeColor="text1" w:themeTint="A6"/>
          <w:sz w:val="16"/>
          <w:szCs w:val="16"/>
        </w:rPr>
      </w:pPr>
      <w:r w:rsidRPr="00C94A70">
        <w:rPr>
          <w:rFonts w:asciiTheme="minorHAnsi" w:hAnsiTheme="minorHAnsi" w:cstheme="minorHAnsi"/>
          <w:b/>
          <w:color w:val="595959" w:themeColor="text1" w:themeTint="A6"/>
          <w:sz w:val="18"/>
          <w:szCs w:val="18"/>
        </w:rPr>
        <w:t>page</w:t>
      </w:r>
      <w:r w:rsidR="006C664D" w:rsidRPr="00C94A70">
        <w:rPr>
          <w:rFonts w:asciiTheme="minorHAnsi" w:hAnsiTheme="minorHAnsi" w:cstheme="minorHAnsi"/>
          <w:b/>
          <w:color w:val="595959" w:themeColor="text1" w:themeTint="A6"/>
          <w:sz w:val="18"/>
          <w:szCs w:val="18"/>
        </w:rPr>
        <w:t xml:space="preserve"> </w:t>
      </w:r>
      <w:r w:rsidR="00DC0A7A" w:rsidRPr="00C94A70">
        <w:rPr>
          <w:rFonts w:asciiTheme="minorHAnsi" w:hAnsiTheme="minorHAnsi" w:cstheme="minorHAnsi"/>
          <w:b/>
          <w:color w:val="595959" w:themeColor="text1" w:themeTint="A6"/>
          <w:sz w:val="18"/>
          <w:szCs w:val="18"/>
        </w:rPr>
        <w:t>71</w:t>
      </w:r>
      <w:r w:rsidR="006C664D" w:rsidRPr="00C94A70">
        <w:rPr>
          <w:rFonts w:asciiTheme="minorHAnsi" w:hAnsiTheme="minorHAnsi" w:cstheme="minorHAnsi"/>
          <w:b/>
          <w:color w:val="595959" w:themeColor="text1" w:themeTint="A6"/>
          <w:sz w:val="18"/>
          <w:szCs w:val="18"/>
        </w:rPr>
        <w:t>-</w:t>
      </w:r>
      <w:r w:rsidR="00E45C84">
        <w:rPr>
          <w:rFonts w:asciiTheme="minorHAnsi" w:hAnsiTheme="minorHAnsi" w:cstheme="minorHAnsi"/>
          <w:b/>
          <w:color w:val="595959" w:themeColor="text1" w:themeTint="A6"/>
          <w:sz w:val="16"/>
          <w:szCs w:val="16"/>
        </w:rPr>
        <w:t>80</w:t>
      </w:r>
    </w:p>
    <w:p w14:paraId="25CCA428" w14:textId="10E09D5D" w:rsidR="007769DD" w:rsidRPr="00C94A70" w:rsidRDefault="00E45C84" w:rsidP="00903364">
      <w:pPr>
        <w:spacing w:after="0"/>
        <w:jc w:val="right"/>
        <w:rPr>
          <w:rFonts w:asciiTheme="minorHAnsi" w:hAnsiTheme="minorHAnsi" w:cstheme="minorHAnsi"/>
          <w:color w:val="595959" w:themeColor="text1" w:themeTint="A6"/>
          <w:sz w:val="18"/>
          <w:szCs w:val="18"/>
        </w:rPr>
      </w:pPr>
      <w:hyperlink r:id="rId9" w:history="1">
        <w:r w:rsidRPr="002C12AB">
          <w:rPr>
            <w:rStyle w:val="Hyperlink"/>
            <w:rFonts w:asciiTheme="minorHAnsi" w:hAnsiTheme="minorHAnsi" w:cstheme="minorHAnsi"/>
            <w:sz w:val="18"/>
            <w:szCs w:val="18"/>
          </w:rPr>
          <w:t>https://doi.org/10.36733/medicamento.v12i1.13597</w:t>
        </w:r>
      </w:hyperlink>
      <w:r>
        <w:rPr>
          <w:rFonts w:asciiTheme="minorHAnsi" w:hAnsiTheme="minorHAnsi" w:cstheme="minorHAnsi"/>
          <w:sz w:val="18"/>
          <w:szCs w:val="18"/>
        </w:rPr>
        <w:t xml:space="preserve"> </w:t>
      </w:r>
    </w:p>
    <w:p w14:paraId="1D50B44E" w14:textId="23926C99" w:rsidR="006C664D" w:rsidRPr="00C94A70" w:rsidRDefault="006C664D" w:rsidP="00903364">
      <w:pPr>
        <w:spacing w:after="0"/>
        <w:jc w:val="right"/>
        <w:rPr>
          <w:rFonts w:asciiTheme="minorHAnsi" w:hAnsiTheme="minorHAnsi" w:cstheme="minorHAnsi"/>
          <w:b/>
          <w:sz w:val="18"/>
          <w:szCs w:val="18"/>
        </w:rPr>
      </w:pPr>
      <w:r w:rsidRPr="00C94A70">
        <w:rPr>
          <w:rFonts w:asciiTheme="minorHAnsi" w:hAnsiTheme="minorHAnsi" w:cstheme="minorHAnsi"/>
          <w:b/>
          <w:color w:val="595959" w:themeColor="text1" w:themeTint="A6"/>
          <w:sz w:val="18"/>
          <w:szCs w:val="18"/>
        </w:rPr>
        <w:t>e-ISSN: 2356-4814</w:t>
      </w:r>
    </w:p>
    <w:p w14:paraId="3C21D90C" w14:textId="552A79A3" w:rsidR="006C664D" w:rsidRPr="00C94A70" w:rsidRDefault="006C664D" w:rsidP="00903364">
      <w:pPr>
        <w:spacing w:after="0"/>
        <w:jc w:val="center"/>
        <w:rPr>
          <w:rFonts w:asciiTheme="minorHAnsi" w:hAnsiTheme="minorHAnsi" w:cstheme="minorHAnsi"/>
          <w:b/>
          <w:sz w:val="28"/>
          <w:szCs w:val="28"/>
        </w:rPr>
      </w:pPr>
      <w:r w:rsidRPr="00C94A70">
        <w:rPr>
          <w:rFonts w:asciiTheme="minorHAnsi" w:hAnsiTheme="minorHAnsi" w:cstheme="minorHAnsi"/>
          <w:b/>
          <w:noProof/>
          <w:sz w:val="20"/>
          <w:szCs w:val="20"/>
        </w:rPr>
        <mc:AlternateContent>
          <mc:Choice Requires="wps">
            <w:drawing>
              <wp:anchor distT="0" distB="0" distL="114300" distR="114300" simplePos="0" relativeHeight="251663360" behindDoc="0" locked="0" layoutInCell="1" allowOverlap="1" wp14:anchorId="28FA5BC2" wp14:editId="63C44CA4">
                <wp:simplePos x="0" y="0"/>
                <wp:positionH relativeFrom="column">
                  <wp:posOffset>34925</wp:posOffset>
                </wp:positionH>
                <wp:positionV relativeFrom="paragraph">
                  <wp:posOffset>182317</wp:posOffset>
                </wp:positionV>
                <wp:extent cx="6066790" cy="0"/>
                <wp:effectExtent l="0" t="0" r="0" b="0"/>
                <wp:wrapNone/>
                <wp:docPr id="8" name="Straight Connector 8"/>
                <wp:cNvGraphicFramePr/>
                <a:graphic xmlns:a="http://schemas.openxmlformats.org/drawingml/2006/main">
                  <a:graphicData uri="http://schemas.microsoft.com/office/word/2010/wordprocessingShape">
                    <wps:wsp>
                      <wps:cNvCnPr/>
                      <wps:spPr>
                        <a:xfrm flipV="1">
                          <a:off x="0" y="0"/>
                          <a:ext cx="6066790"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699D25" id="Straight Connector 8"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4.35pt" to="480.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" strokecolor="#747070 [1614]" strokeweight="1.5pt">
                <v:stroke joinstyle="miter"/>
              </v:line>
            </w:pict>
          </mc:Fallback>
        </mc:AlternateContent>
      </w:r>
    </w:p>
    <w:p w14:paraId="2D7B4ED1" w14:textId="7E4D8553" w:rsidR="00B8743E" w:rsidRPr="00C94A70" w:rsidRDefault="00672009" w:rsidP="00EB22BD">
      <w:pPr>
        <w:spacing w:after="0" w:line="240" w:lineRule="auto"/>
        <w:jc w:val="both"/>
        <w:rPr>
          <w:rFonts w:asciiTheme="minorHAnsi" w:hAnsiTheme="minorHAnsi" w:cstheme="minorHAnsi"/>
          <w:b/>
          <w:color w:val="2E74B5" w:themeColor="accent5" w:themeShade="BF"/>
          <w:sz w:val="32"/>
          <w:szCs w:val="32"/>
        </w:rPr>
      </w:pPr>
      <w:r w:rsidRPr="00C94A70">
        <w:rPr>
          <w:rFonts w:asciiTheme="minorHAnsi" w:hAnsiTheme="minorHAnsi" w:cstheme="minorHAnsi"/>
          <w:b/>
          <w:color w:val="2E74B5" w:themeColor="accent5" w:themeShade="BF"/>
          <w:sz w:val="32"/>
          <w:szCs w:val="32"/>
        </w:rPr>
        <w:t xml:space="preserve">The </w:t>
      </w:r>
      <w:r w:rsidR="00EC64F1" w:rsidRPr="00C94A70">
        <w:rPr>
          <w:rFonts w:asciiTheme="minorHAnsi" w:hAnsiTheme="minorHAnsi" w:cstheme="minorHAnsi"/>
          <w:b/>
          <w:color w:val="2E74B5" w:themeColor="accent5" w:themeShade="BF"/>
          <w:sz w:val="32"/>
          <w:szCs w:val="32"/>
        </w:rPr>
        <w:t>Association</w:t>
      </w:r>
      <w:r w:rsidRPr="00C94A70">
        <w:rPr>
          <w:rFonts w:asciiTheme="minorHAnsi" w:hAnsiTheme="minorHAnsi" w:cstheme="minorHAnsi"/>
          <w:b/>
          <w:color w:val="2E74B5" w:themeColor="accent5" w:themeShade="BF"/>
          <w:sz w:val="32"/>
          <w:szCs w:val="32"/>
        </w:rPr>
        <w:t xml:space="preserve"> </w:t>
      </w:r>
      <w:r w:rsidR="00101378">
        <w:rPr>
          <w:rFonts w:asciiTheme="minorHAnsi" w:hAnsiTheme="minorHAnsi" w:cstheme="minorHAnsi"/>
          <w:b/>
          <w:color w:val="2E74B5" w:themeColor="accent5" w:themeShade="BF"/>
          <w:sz w:val="32"/>
          <w:szCs w:val="32"/>
        </w:rPr>
        <w:t>b</w:t>
      </w:r>
      <w:r w:rsidRPr="00C94A70">
        <w:rPr>
          <w:rFonts w:asciiTheme="minorHAnsi" w:hAnsiTheme="minorHAnsi" w:cstheme="minorHAnsi"/>
          <w:b/>
          <w:color w:val="2E74B5" w:themeColor="accent5" w:themeShade="BF"/>
          <w:sz w:val="32"/>
          <w:szCs w:val="32"/>
        </w:rPr>
        <w:t xml:space="preserve">etween Resistance </w:t>
      </w:r>
      <w:r w:rsidR="00F87919" w:rsidRPr="00C94A70">
        <w:rPr>
          <w:rFonts w:asciiTheme="minorHAnsi" w:hAnsiTheme="minorHAnsi" w:cstheme="minorHAnsi"/>
          <w:b/>
          <w:color w:val="2E74B5" w:themeColor="accent5" w:themeShade="BF"/>
          <w:sz w:val="32"/>
          <w:szCs w:val="32"/>
        </w:rPr>
        <w:t>of</w:t>
      </w:r>
      <w:r w:rsidRPr="00C94A70">
        <w:rPr>
          <w:rFonts w:asciiTheme="minorHAnsi" w:hAnsiTheme="minorHAnsi" w:cstheme="minorHAnsi"/>
          <w:b/>
          <w:color w:val="2E74B5" w:themeColor="accent5" w:themeShade="BF"/>
          <w:sz w:val="32"/>
          <w:szCs w:val="32"/>
        </w:rPr>
        <w:t xml:space="preserve"> Sepsis-Inducing Bacteria </w:t>
      </w:r>
      <w:r w:rsidR="00F87919" w:rsidRPr="00C94A70">
        <w:rPr>
          <w:rFonts w:asciiTheme="minorHAnsi" w:hAnsiTheme="minorHAnsi" w:cstheme="minorHAnsi"/>
          <w:b/>
          <w:color w:val="2E74B5" w:themeColor="accent5" w:themeShade="BF"/>
          <w:sz w:val="32"/>
          <w:szCs w:val="32"/>
        </w:rPr>
        <w:t>t</w:t>
      </w:r>
      <w:r w:rsidRPr="00C94A70">
        <w:rPr>
          <w:rFonts w:asciiTheme="minorHAnsi" w:hAnsiTheme="minorHAnsi" w:cstheme="minorHAnsi"/>
          <w:b/>
          <w:color w:val="2E74B5" w:themeColor="accent5" w:themeShade="BF"/>
          <w:sz w:val="32"/>
          <w:szCs w:val="32"/>
        </w:rPr>
        <w:t xml:space="preserve">o First-Line Antibiotics </w:t>
      </w:r>
      <w:r w:rsidR="00F87919" w:rsidRPr="00C94A70">
        <w:rPr>
          <w:rFonts w:asciiTheme="minorHAnsi" w:hAnsiTheme="minorHAnsi" w:cstheme="minorHAnsi"/>
          <w:b/>
          <w:color w:val="2E74B5" w:themeColor="accent5" w:themeShade="BF"/>
          <w:sz w:val="32"/>
          <w:szCs w:val="32"/>
        </w:rPr>
        <w:t>a</w:t>
      </w:r>
      <w:r w:rsidRPr="00C94A70">
        <w:rPr>
          <w:rFonts w:asciiTheme="minorHAnsi" w:hAnsiTheme="minorHAnsi" w:cstheme="minorHAnsi"/>
          <w:b/>
          <w:color w:val="2E74B5" w:themeColor="accent5" w:themeShade="BF"/>
          <w:sz w:val="32"/>
          <w:szCs w:val="32"/>
        </w:rPr>
        <w:t xml:space="preserve">nd </w:t>
      </w:r>
      <w:r w:rsidR="00EC64F1" w:rsidRPr="00C94A70">
        <w:rPr>
          <w:rFonts w:asciiTheme="minorHAnsi" w:hAnsiTheme="minorHAnsi" w:cstheme="minorHAnsi"/>
          <w:b/>
          <w:color w:val="2E74B5" w:themeColor="accent5" w:themeShade="BF"/>
          <w:sz w:val="32"/>
          <w:szCs w:val="32"/>
        </w:rPr>
        <w:t xml:space="preserve">Sepsis </w:t>
      </w:r>
      <w:r w:rsidRPr="00C94A70">
        <w:rPr>
          <w:rFonts w:asciiTheme="minorHAnsi" w:hAnsiTheme="minorHAnsi" w:cstheme="minorHAnsi"/>
          <w:b/>
          <w:color w:val="2E74B5" w:themeColor="accent5" w:themeShade="BF"/>
          <w:sz w:val="32"/>
          <w:szCs w:val="32"/>
        </w:rPr>
        <w:t>Outcome</w:t>
      </w:r>
      <w:r w:rsidR="00EC64F1" w:rsidRPr="00C94A70">
        <w:rPr>
          <w:rFonts w:asciiTheme="minorHAnsi" w:hAnsiTheme="minorHAnsi" w:cstheme="minorHAnsi"/>
          <w:b/>
          <w:color w:val="2E74B5" w:themeColor="accent5" w:themeShade="BF"/>
          <w:sz w:val="32"/>
          <w:szCs w:val="32"/>
        </w:rPr>
        <w:t xml:space="preserve">: A Retrospective Cross-Sectional </w:t>
      </w:r>
      <w:r w:rsidR="00C26143" w:rsidRPr="00C94A70">
        <w:rPr>
          <w:rFonts w:asciiTheme="minorHAnsi" w:hAnsiTheme="minorHAnsi" w:cstheme="minorHAnsi"/>
          <w:b/>
          <w:color w:val="2E74B5" w:themeColor="accent5" w:themeShade="BF"/>
          <w:sz w:val="32"/>
          <w:szCs w:val="32"/>
        </w:rPr>
        <w:t>Study</w:t>
      </w:r>
    </w:p>
    <w:p w14:paraId="73F16990" w14:textId="58154ED2" w:rsidR="00067495" w:rsidRDefault="00067495" w:rsidP="00903364">
      <w:pPr>
        <w:tabs>
          <w:tab w:val="left" w:pos="6999"/>
        </w:tabs>
        <w:spacing w:after="0" w:line="240" w:lineRule="auto"/>
        <w:jc w:val="both"/>
        <w:rPr>
          <w:rFonts w:asciiTheme="minorHAnsi" w:hAnsiTheme="minorHAnsi" w:cstheme="minorHAnsi"/>
          <w:bCs/>
          <w:i/>
          <w:iCs/>
          <w:sz w:val="16"/>
          <w:szCs w:val="16"/>
          <w:lang w:eastAsia="en-AU"/>
        </w:rPr>
      </w:pPr>
    </w:p>
    <w:p w14:paraId="3B1F1C3C" w14:textId="77777777" w:rsidR="00CA015E" w:rsidRPr="00CA015E" w:rsidRDefault="00CA015E" w:rsidP="00E1746A">
      <w:pPr>
        <w:tabs>
          <w:tab w:val="left" w:pos="6999"/>
        </w:tabs>
        <w:spacing w:after="60" w:line="240" w:lineRule="auto"/>
        <w:jc w:val="both"/>
        <w:rPr>
          <w:rFonts w:asciiTheme="minorHAnsi" w:hAnsiTheme="minorHAnsi" w:cstheme="minorHAnsi"/>
          <w:b/>
          <w:bCs/>
          <w:sz w:val="18"/>
          <w:szCs w:val="18"/>
          <w:vertAlign w:val="superscript"/>
          <w:lang w:eastAsia="en-AU"/>
        </w:rPr>
      </w:pPr>
      <w:proofErr w:type="spellStart"/>
      <w:r w:rsidRPr="00CA015E">
        <w:rPr>
          <w:rFonts w:asciiTheme="minorHAnsi" w:hAnsiTheme="minorHAnsi" w:cstheme="minorHAnsi"/>
          <w:b/>
          <w:bCs/>
          <w:sz w:val="18"/>
          <w:szCs w:val="18"/>
          <w:lang w:eastAsia="en-AU"/>
        </w:rPr>
        <w:t>Herleeyana</w:t>
      </w:r>
      <w:proofErr w:type="spellEnd"/>
      <w:r w:rsidRPr="00CA015E">
        <w:rPr>
          <w:rFonts w:asciiTheme="minorHAnsi" w:hAnsiTheme="minorHAnsi" w:cstheme="minorHAnsi"/>
          <w:b/>
          <w:bCs/>
          <w:sz w:val="18"/>
          <w:szCs w:val="18"/>
          <w:lang w:eastAsia="en-AU"/>
        </w:rPr>
        <w:t xml:space="preserve"> Meriyani</w:t>
      </w:r>
      <w:r w:rsidRPr="00CA015E">
        <w:rPr>
          <w:rFonts w:asciiTheme="minorHAnsi" w:hAnsiTheme="minorHAnsi" w:cstheme="minorHAnsi"/>
          <w:b/>
          <w:bCs/>
          <w:sz w:val="18"/>
          <w:szCs w:val="18"/>
          <w:vertAlign w:val="superscript"/>
          <w:lang w:eastAsia="en-AU"/>
        </w:rPr>
        <w:t>1</w:t>
      </w:r>
      <w:r w:rsidRPr="00CA015E">
        <w:rPr>
          <w:rFonts w:asciiTheme="minorHAnsi" w:hAnsiTheme="minorHAnsi" w:cstheme="minorHAnsi"/>
          <w:b/>
          <w:bCs/>
          <w:sz w:val="18"/>
          <w:szCs w:val="18"/>
          <w:lang w:eastAsia="en-AU"/>
        </w:rPr>
        <w:t>, Dwi Arymbhi Sanjaya</w:t>
      </w:r>
      <w:r w:rsidRPr="00CA015E">
        <w:rPr>
          <w:rFonts w:asciiTheme="minorHAnsi" w:hAnsiTheme="minorHAnsi" w:cstheme="minorHAnsi"/>
          <w:b/>
          <w:bCs/>
          <w:sz w:val="18"/>
          <w:szCs w:val="18"/>
          <w:vertAlign w:val="superscript"/>
          <w:lang w:eastAsia="en-AU"/>
        </w:rPr>
        <w:t>1*</w:t>
      </w:r>
      <w:r w:rsidRPr="00CA015E">
        <w:rPr>
          <w:rFonts w:asciiTheme="minorHAnsi" w:hAnsiTheme="minorHAnsi" w:cstheme="minorHAnsi"/>
          <w:b/>
          <w:bCs/>
          <w:sz w:val="18"/>
          <w:szCs w:val="18"/>
          <w:lang w:eastAsia="en-AU"/>
        </w:rPr>
        <w:t>, Rr. Asih Juanita</w:t>
      </w:r>
      <w:r w:rsidRPr="00CA015E">
        <w:rPr>
          <w:rFonts w:asciiTheme="minorHAnsi" w:hAnsiTheme="minorHAnsi" w:cstheme="minorHAnsi"/>
          <w:b/>
          <w:bCs/>
          <w:sz w:val="18"/>
          <w:szCs w:val="18"/>
          <w:vertAlign w:val="superscript"/>
          <w:lang w:eastAsia="en-AU"/>
        </w:rPr>
        <w:t>1</w:t>
      </w:r>
      <w:r w:rsidRPr="00CA015E">
        <w:rPr>
          <w:rFonts w:asciiTheme="minorHAnsi" w:hAnsiTheme="minorHAnsi" w:cstheme="minorHAnsi"/>
          <w:b/>
          <w:bCs/>
          <w:sz w:val="18"/>
          <w:szCs w:val="18"/>
          <w:lang w:eastAsia="en-AU"/>
        </w:rPr>
        <w:t xml:space="preserve">, Nyoman </w:t>
      </w:r>
      <w:proofErr w:type="spellStart"/>
      <w:r w:rsidRPr="00CA015E">
        <w:rPr>
          <w:rFonts w:asciiTheme="minorHAnsi" w:hAnsiTheme="minorHAnsi" w:cstheme="minorHAnsi"/>
          <w:b/>
          <w:bCs/>
          <w:sz w:val="18"/>
          <w:szCs w:val="18"/>
          <w:lang w:eastAsia="en-AU"/>
        </w:rPr>
        <w:t>Budiartha</w:t>
      </w:r>
      <w:proofErr w:type="spellEnd"/>
      <w:r w:rsidRPr="00CA015E">
        <w:rPr>
          <w:rFonts w:asciiTheme="minorHAnsi" w:hAnsiTheme="minorHAnsi" w:cstheme="minorHAnsi"/>
          <w:b/>
          <w:bCs/>
          <w:sz w:val="18"/>
          <w:szCs w:val="18"/>
          <w:lang w:eastAsia="en-AU"/>
        </w:rPr>
        <w:t xml:space="preserve"> Siada</w:t>
      </w:r>
      <w:r w:rsidRPr="00CA015E">
        <w:rPr>
          <w:rFonts w:asciiTheme="minorHAnsi" w:hAnsiTheme="minorHAnsi" w:cstheme="minorHAnsi"/>
          <w:b/>
          <w:bCs/>
          <w:sz w:val="18"/>
          <w:szCs w:val="18"/>
          <w:vertAlign w:val="superscript"/>
          <w:lang w:eastAsia="en-AU"/>
        </w:rPr>
        <w:t>1</w:t>
      </w:r>
      <w:r w:rsidRPr="00CA015E">
        <w:rPr>
          <w:rFonts w:asciiTheme="minorHAnsi" w:hAnsiTheme="minorHAnsi" w:cstheme="minorHAnsi"/>
          <w:b/>
          <w:bCs/>
          <w:sz w:val="18"/>
          <w:szCs w:val="18"/>
          <w:lang w:eastAsia="en-AU"/>
        </w:rPr>
        <w:t>, I Wayan Maysa Yudiartha</w:t>
      </w:r>
      <w:r w:rsidRPr="00CA015E">
        <w:rPr>
          <w:rFonts w:asciiTheme="minorHAnsi" w:hAnsiTheme="minorHAnsi" w:cstheme="minorHAnsi"/>
          <w:b/>
          <w:bCs/>
          <w:sz w:val="18"/>
          <w:szCs w:val="18"/>
          <w:vertAlign w:val="superscript"/>
          <w:lang w:eastAsia="en-AU"/>
        </w:rPr>
        <w:t>2</w:t>
      </w:r>
      <w:r w:rsidRPr="00CA015E">
        <w:rPr>
          <w:rFonts w:asciiTheme="minorHAnsi" w:hAnsiTheme="minorHAnsi" w:cstheme="minorHAnsi"/>
          <w:b/>
          <w:bCs/>
          <w:sz w:val="18"/>
          <w:szCs w:val="18"/>
          <w:lang w:eastAsia="en-AU"/>
        </w:rPr>
        <w:t>, Kadek Suryawan</w:t>
      </w:r>
      <w:r w:rsidRPr="00CA015E">
        <w:rPr>
          <w:rFonts w:asciiTheme="minorHAnsi" w:hAnsiTheme="minorHAnsi" w:cstheme="minorHAnsi"/>
          <w:b/>
          <w:bCs/>
          <w:sz w:val="18"/>
          <w:szCs w:val="18"/>
          <w:vertAlign w:val="superscript"/>
          <w:lang w:eastAsia="en-AU"/>
        </w:rPr>
        <w:t>3</w:t>
      </w:r>
    </w:p>
    <w:tbl>
      <w:tblPr>
        <w:tblStyle w:val="ListTable6Colorful-Accent5"/>
        <w:tblW w:w="0" w:type="auto"/>
        <w:tblLook w:val="04A0" w:firstRow="1" w:lastRow="0" w:firstColumn="1" w:lastColumn="0" w:noHBand="0" w:noVBand="1"/>
      </w:tblPr>
      <w:tblGrid>
        <w:gridCol w:w="2694"/>
        <w:gridCol w:w="6934"/>
      </w:tblGrid>
      <w:tr w:rsidR="00261E30" w:rsidRPr="00C94A70" w14:paraId="7DE629D8" w14:textId="77777777" w:rsidTr="003F7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val="restart"/>
            <w:shd w:val="clear" w:color="auto" w:fill="DEEAF6" w:themeFill="accent5" w:themeFillTint="33"/>
          </w:tcPr>
          <w:p w14:paraId="1282098C" w14:textId="2C9BA7EE" w:rsidR="00CA015E" w:rsidRPr="00CA015E" w:rsidRDefault="00CA015E" w:rsidP="00CA015E">
            <w:pPr>
              <w:tabs>
                <w:tab w:val="left" w:pos="882"/>
                <w:tab w:val="left" w:pos="6999"/>
              </w:tabs>
              <w:spacing w:after="0" w:line="240" w:lineRule="auto"/>
              <w:rPr>
                <w:rFonts w:asciiTheme="minorHAnsi" w:hAnsiTheme="minorHAnsi" w:cstheme="minorHAnsi"/>
                <w:b w:val="0"/>
                <w:bCs w:val="0"/>
                <w:color w:val="auto"/>
                <w:sz w:val="16"/>
                <w:szCs w:val="16"/>
                <w:lang w:eastAsia="en-AU"/>
              </w:rPr>
            </w:pPr>
            <w:r w:rsidRPr="00CA015E">
              <w:rPr>
                <w:rFonts w:asciiTheme="minorHAnsi" w:hAnsiTheme="minorHAnsi" w:cstheme="minorHAnsi"/>
                <w:b w:val="0"/>
                <w:bCs w:val="0"/>
                <w:color w:val="auto"/>
                <w:sz w:val="16"/>
                <w:szCs w:val="16"/>
                <w:vertAlign w:val="superscript"/>
                <w:lang w:eastAsia="en-AU"/>
              </w:rPr>
              <w:t>1</w:t>
            </w:r>
            <w:r w:rsidRPr="00CA015E">
              <w:rPr>
                <w:rFonts w:asciiTheme="minorHAnsi" w:hAnsiTheme="minorHAnsi" w:cstheme="minorHAnsi"/>
                <w:b w:val="0"/>
                <w:bCs w:val="0"/>
                <w:color w:val="auto"/>
                <w:sz w:val="16"/>
                <w:szCs w:val="16"/>
                <w:lang w:eastAsia="en-AU"/>
              </w:rPr>
              <w:t>Departmen</w:t>
            </w:r>
            <w:r w:rsidR="00FC12D1">
              <w:rPr>
                <w:rFonts w:asciiTheme="minorHAnsi" w:hAnsiTheme="minorHAnsi" w:cstheme="minorHAnsi"/>
                <w:b w:val="0"/>
                <w:bCs w:val="0"/>
                <w:color w:val="auto"/>
                <w:sz w:val="16"/>
                <w:szCs w:val="16"/>
                <w:lang w:eastAsia="en-AU"/>
              </w:rPr>
              <w:t>t</w:t>
            </w:r>
            <w:r w:rsidRPr="00CA015E">
              <w:rPr>
                <w:rFonts w:asciiTheme="minorHAnsi" w:hAnsiTheme="minorHAnsi" w:cstheme="minorHAnsi"/>
                <w:b w:val="0"/>
                <w:bCs w:val="0"/>
                <w:color w:val="auto"/>
                <w:sz w:val="16"/>
                <w:szCs w:val="16"/>
                <w:lang w:eastAsia="en-AU"/>
              </w:rPr>
              <w:t xml:space="preserve"> </w:t>
            </w:r>
            <w:r w:rsidR="00FC12D1">
              <w:rPr>
                <w:rFonts w:asciiTheme="minorHAnsi" w:hAnsiTheme="minorHAnsi" w:cstheme="minorHAnsi"/>
                <w:b w:val="0"/>
                <w:bCs w:val="0"/>
                <w:color w:val="auto"/>
                <w:sz w:val="16"/>
                <w:szCs w:val="16"/>
                <w:lang w:eastAsia="en-AU"/>
              </w:rPr>
              <w:t>of Pharmacology and Clinical Pharmacy, Faculty of Pharmacy</w:t>
            </w:r>
            <w:r w:rsidRPr="00CA015E">
              <w:rPr>
                <w:rFonts w:asciiTheme="minorHAnsi" w:hAnsiTheme="minorHAnsi" w:cstheme="minorHAnsi"/>
                <w:b w:val="0"/>
                <w:bCs w:val="0"/>
                <w:color w:val="auto"/>
                <w:sz w:val="16"/>
                <w:szCs w:val="16"/>
                <w:lang w:eastAsia="en-AU"/>
              </w:rPr>
              <w:t xml:space="preserve">, Universitas Mahasaraswati Denpasar, </w:t>
            </w:r>
            <w:proofErr w:type="spellStart"/>
            <w:r w:rsidRPr="00CA015E">
              <w:rPr>
                <w:rFonts w:asciiTheme="minorHAnsi" w:hAnsiTheme="minorHAnsi" w:cstheme="minorHAnsi"/>
                <w:b w:val="0"/>
                <w:bCs w:val="0"/>
                <w:color w:val="auto"/>
                <w:sz w:val="16"/>
                <w:szCs w:val="16"/>
                <w:lang w:eastAsia="en-AU"/>
              </w:rPr>
              <w:t>Jln.Kamboja</w:t>
            </w:r>
            <w:proofErr w:type="spellEnd"/>
            <w:r w:rsidRPr="00CA015E">
              <w:rPr>
                <w:rFonts w:asciiTheme="minorHAnsi" w:hAnsiTheme="minorHAnsi" w:cstheme="minorHAnsi"/>
                <w:b w:val="0"/>
                <w:bCs w:val="0"/>
                <w:color w:val="auto"/>
                <w:sz w:val="16"/>
                <w:szCs w:val="16"/>
                <w:lang w:eastAsia="en-AU"/>
              </w:rPr>
              <w:t>, No. 11 A, Denpasar, 80233, Indonesia</w:t>
            </w:r>
          </w:p>
          <w:p w14:paraId="21B50A31" w14:textId="1EE78E6F" w:rsidR="00CA015E" w:rsidRPr="00CA015E" w:rsidRDefault="00CA015E" w:rsidP="00CA015E">
            <w:pPr>
              <w:tabs>
                <w:tab w:val="left" w:pos="882"/>
                <w:tab w:val="left" w:pos="6999"/>
              </w:tabs>
              <w:spacing w:after="0" w:line="240" w:lineRule="auto"/>
              <w:rPr>
                <w:rFonts w:asciiTheme="minorHAnsi" w:hAnsiTheme="minorHAnsi" w:cstheme="minorHAnsi"/>
                <w:b w:val="0"/>
                <w:bCs w:val="0"/>
                <w:color w:val="auto"/>
                <w:sz w:val="16"/>
                <w:szCs w:val="16"/>
                <w:lang w:eastAsia="en-AU"/>
              </w:rPr>
            </w:pPr>
            <w:r w:rsidRPr="00CA015E">
              <w:rPr>
                <w:rFonts w:asciiTheme="minorHAnsi" w:hAnsiTheme="minorHAnsi" w:cstheme="minorHAnsi"/>
                <w:b w:val="0"/>
                <w:bCs w:val="0"/>
                <w:color w:val="auto"/>
                <w:sz w:val="16"/>
                <w:szCs w:val="16"/>
                <w:vertAlign w:val="superscript"/>
                <w:lang w:eastAsia="en-AU"/>
              </w:rPr>
              <w:t>2</w:t>
            </w:r>
            <w:r w:rsidRPr="00CA015E">
              <w:rPr>
                <w:rFonts w:asciiTheme="minorHAnsi" w:hAnsiTheme="minorHAnsi" w:cstheme="minorHAnsi"/>
                <w:b w:val="0"/>
                <w:bCs w:val="0"/>
                <w:color w:val="auto"/>
                <w:sz w:val="16"/>
                <w:szCs w:val="16"/>
                <w:lang w:eastAsia="en-AU"/>
              </w:rPr>
              <w:t xml:space="preserve">Bachelor of Pharmacy, </w:t>
            </w:r>
            <w:r w:rsidR="00FC12D1">
              <w:rPr>
                <w:rFonts w:asciiTheme="minorHAnsi" w:hAnsiTheme="minorHAnsi" w:cstheme="minorHAnsi"/>
                <w:b w:val="0"/>
                <w:bCs w:val="0"/>
                <w:color w:val="auto"/>
                <w:sz w:val="16"/>
                <w:szCs w:val="16"/>
                <w:lang w:eastAsia="en-AU"/>
              </w:rPr>
              <w:t xml:space="preserve">Faculty of Pharmacy, </w:t>
            </w:r>
            <w:r w:rsidRPr="00CA015E">
              <w:rPr>
                <w:rFonts w:asciiTheme="minorHAnsi" w:hAnsiTheme="minorHAnsi" w:cstheme="minorHAnsi"/>
                <w:b w:val="0"/>
                <w:bCs w:val="0"/>
                <w:color w:val="auto"/>
                <w:sz w:val="16"/>
                <w:szCs w:val="16"/>
                <w:lang w:eastAsia="en-AU"/>
              </w:rPr>
              <w:t xml:space="preserve">Universitas Mahasaraswati Denpasar, </w:t>
            </w:r>
            <w:proofErr w:type="spellStart"/>
            <w:r w:rsidRPr="00CA015E">
              <w:rPr>
                <w:rFonts w:asciiTheme="minorHAnsi" w:hAnsiTheme="minorHAnsi" w:cstheme="minorHAnsi"/>
                <w:b w:val="0"/>
                <w:bCs w:val="0"/>
                <w:color w:val="auto"/>
                <w:sz w:val="16"/>
                <w:szCs w:val="16"/>
                <w:lang w:eastAsia="en-AU"/>
              </w:rPr>
              <w:t>Jln.Kamboja</w:t>
            </w:r>
            <w:proofErr w:type="spellEnd"/>
            <w:r w:rsidRPr="00CA015E">
              <w:rPr>
                <w:rFonts w:asciiTheme="minorHAnsi" w:hAnsiTheme="minorHAnsi" w:cstheme="minorHAnsi"/>
                <w:b w:val="0"/>
                <w:bCs w:val="0"/>
                <w:color w:val="auto"/>
                <w:sz w:val="16"/>
                <w:szCs w:val="16"/>
                <w:lang w:eastAsia="en-AU"/>
              </w:rPr>
              <w:t>, No. 11 A, Denpasar, 80233, Indonesia</w:t>
            </w:r>
          </w:p>
          <w:p w14:paraId="3954B478" w14:textId="03FAC85F" w:rsidR="00CA015E" w:rsidRPr="00CA015E" w:rsidRDefault="00CA015E" w:rsidP="00CA015E">
            <w:pPr>
              <w:tabs>
                <w:tab w:val="left" w:pos="882"/>
                <w:tab w:val="left" w:pos="6999"/>
              </w:tabs>
              <w:spacing w:after="0" w:line="240" w:lineRule="auto"/>
              <w:rPr>
                <w:rFonts w:asciiTheme="minorHAnsi" w:hAnsiTheme="minorHAnsi" w:cstheme="minorHAnsi"/>
                <w:b w:val="0"/>
                <w:bCs w:val="0"/>
                <w:color w:val="auto"/>
                <w:sz w:val="16"/>
                <w:szCs w:val="16"/>
                <w:lang w:eastAsia="en-AU"/>
              </w:rPr>
            </w:pPr>
            <w:r w:rsidRPr="00CA015E">
              <w:rPr>
                <w:rFonts w:asciiTheme="minorHAnsi" w:hAnsiTheme="minorHAnsi" w:cstheme="minorHAnsi"/>
                <w:b w:val="0"/>
                <w:bCs w:val="0"/>
                <w:color w:val="auto"/>
                <w:sz w:val="16"/>
                <w:szCs w:val="16"/>
                <w:vertAlign w:val="superscript"/>
                <w:lang w:eastAsia="en-AU"/>
              </w:rPr>
              <w:t>3</w:t>
            </w:r>
            <w:r w:rsidRPr="00CA015E">
              <w:rPr>
                <w:rFonts w:asciiTheme="minorHAnsi" w:hAnsiTheme="minorHAnsi" w:cstheme="minorHAnsi"/>
                <w:b w:val="0"/>
                <w:bCs w:val="0"/>
                <w:color w:val="auto"/>
                <w:sz w:val="16"/>
                <w:szCs w:val="16"/>
                <w:lang w:eastAsia="en-AU"/>
              </w:rPr>
              <w:t xml:space="preserve">Clinical Microbiology Laboratory </w:t>
            </w:r>
            <w:r w:rsidR="00FC12D1" w:rsidRPr="00CA015E">
              <w:rPr>
                <w:rFonts w:asciiTheme="minorHAnsi" w:hAnsiTheme="minorHAnsi" w:cstheme="minorHAnsi"/>
                <w:b w:val="0"/>
                <w:bCs w:val="0"/>
                <w:color w:val="auto"/>
                <w:sz w:val="16"/>
                <w:szCs w:val="16"/>
                <w:lang w:eastAsia="en-AU"/>
              </w:rPr>
              <w:t>Department</w:t>
            </w:r>
            <w:r w:rsidRPr="00CA015E">
              <w:rPr>
                <w:rFonts w:asciiTheme="minorHAnsi" w:hAnsiTheme="minorHAnsi" w:cstheme="minorHAnsi"/>
                <w:b w:val="0"/>
                <w:bCs w:val="0"/>
                <w:color w:val="auto"/>
                <w:sz w:val="16"/>
                <w:szCs w:val="16"/>
                <w:lang w:eastAsia="en-AU"/>
              </w:rPr>
              <w:t>, Sanjiwani Regional General Hospital, Gianyar, Indonesia</w:t>
            </w:r>
          </w:p>
          <w:p w14:paraId="2FB33500" w14:textId="77777777" w:rsidR="00CA015E" w:rsidRPr="00CA015E" w:rsidRDefault="00CA015E" w:rsidP="00CA015E">
            <w:pPr>
              <w:tabs>
                <w:tab w:val="left" w:pos="882"/>
                <w:tab w:val="left" w:pos="6999"/>
              </w:tabs>
              <w:spacing w:after="0" w:line="240" w:lineRule="auto"/>
              <w:rPr>
                <w:rFonts w:asciiTheme="minorHAnsi" w:hAnsiTheme="minorHAnsi" w:cstheme="minorHAnsi"/>
                <w:b w:val="0"/>
                <w:bCs w:val="0"/>
                <w:color w:val="auto"/>
                <w:sz w:val="16"/>
                <w:szCs w:val="16"/>
                <w:lang w:eastAsia="en-AU"/>
              </w:rPr>
            </w:pPr>
          </w:p>
          <w:p w14:paraId="21EF5248" w14:textId="77777777" w:rsidR="00CA015E" w:rsidRDefault="00CA015E" w:rsidP="00903364">
            <w:pPr>
              <w:tabs>
                <w:tab w:val="left" w:pos="882"/>
                <w:tab w:val="left" w:pos="6999"/>
              </w:tabs>
              <w:spacing w:after="0" w:line="240" w:lineRule="auto"/>
              <w:jc w:val="both"/>
              <w:rPr>
                <w:rFonts w:asciiTheme="minorHAnsi" w:hAnsiTheme="minorHAnsi" w:cstheme="minorHAnsi"/>
                <w:b w:val="0"/>
                <w:color w:val="auto"/>
                <w:sz w:val="18"/>
                <w:szCs w:val="18"/>
                <w:lang w:eastAsia="en-AU"/>
              </w:rPr>
            </w:pPr>
          </w:p>
          <w:p w14:paraId="6DA9433F" w14:textId="13A79421" w:rsidR="00261E30" w:rsidRPr="00C94A70" w:rsidRDefault="00445F66" w:rsidP="00903364">
            <w:pPr>
              <w:tabs>
                <w:tab w:val="left" w:pos="882"/>
                <w:tab w:val="left" w:pos="6999"/>
              </w:tabs>
              <w:spacing w:after="0" w:line="240" w:lineRule="auto"/>
              <w:jc w:val="both"/>
              <w:rPr>
                <w:rFonts w:asciiTheme="minorHAnsi" w:hAnsiTheme="minorHAnsi" w:cstheme="minorHAnsi"/>
                <w:b w:val="0"/>
                <w:color w:val="auto"/>
                <w:sz w:val="18"/>
                <w:szCs w:val="18"/>
                <w:lang w:eastAsia="en-AU"/>
              </w:rPr>
            </w:pPr>
            <w:r w:rsidRPr="00C94A70">
              <w:rPr>
                <w:rFonts w:asciiTheme="minorHAnsi" w:hAnsiTheme="minorHAnsi" w:cstheme="minorHAnsi"/>
                <w:bCs w:val="0"/>
                <w:color w:val="auto"/>
                <w:sz w:val="18"/>
                <w:szCs w:val="18"/>
                <w:lang w:eastAsia="en-AU"/>
              </w:rPr>
              <w:t>Submitted</w:t>
            </w:r>
            <w:r w:rsidR="00863644" w:rsidRPr="00C94A70">
              <w:rPr>
                <w:rFonts w:asciiTheme="minorHAnsi" w:hAnsiTheme="minorHAnsi" w:cstheme="minorHAnsi"/>
                <w:bCs w:val="0"/>
                <w:color w:val="auto"/>
                <w:sz w:val="18"/>
                <w:szCs w:val="18"/>
                <w:lang w:eastAsia="en-AU"/>
              </w:rPr>
              <w:tab/>
            </w:r>
            <w:r w:rsidR="00261E30" w:rsidRPr="00C94A70">
              <w:rPr>
                <w:rFonts w:asciiTheme="minorHAnsi" w:hAnsiTheme="minorHAnsi" w:cstheme="minorHAnsi"/>
                <w:bCs w:val="0"/>
                <w:color w:val="auto"/>
                <w:sz w:val="18"/>
                <w:szCs w:val="18"/>
                <w:lang w:eastAsia="en-AU"/>
              </w:rPr>
              <w:t>:</w:t>
            </w:r>
            <w:r w:rsidR="00261E30" w:rsidRPr="00970844">
              <w:rPr>
                <w:rFonts w:asciiTheme="minorHAnsi" w:hAnsiTheme="minorHAnsi" w:cstheme="minorHAnsi"/>
                <w:b w:val="0"/>
                <w:color w:val="auto"/>
                <w:sz w:val="18"/>
                <w:szCs w:val="18"/>
                <w:lang w:eastAsia="en-AU"/>
              </w:rPr>
              <w:t xml:space="preserve"> </w:t>
            </w:r>
            <w:r w:rsidR="00970844" w:rsidRPr="00970844">
              <w:rPr>
                <w:rFonts w:asciiTheme="minorHAnsi" w:hAnsiTheme="minorHAnsi" w:cstheme="minorHAnsi"/>
                <w:b w:val="0"/>
                <w:color w:val="auto"/>
                <w:sz w:val="18"/>
                <w:szCs w:val="18"/>
                <w:lang w:eastAsia="en-AU"/>
              </w:rPr>
              <w:t>05-02-2026</w:t>
            </w:r>
          </w:p>
          <w:p w14:paraId="1185C086" w14:textId="6FE1AE4A" w:rsidR="00261E30" w:rsidRPr="00C94A70" w:rsidRDefault="00445F66" w:rsidP="00903364">
            <w:pPr>
              <w:tabs>
                <w:tab w:val="left" w:pos="882"/>
                <w:tab w:val="left" w:pos="6999"/>
              </w:tabs>
              <w:spacing w:after="0" w:line="240" w:lineRule="auto"/>
              <w:jc w:val="both"/>
              <w:rPr>
                <w:rFonts w:asciiTheme="minorHAnsi" w:hAnsiTheme="minorHAnsi" w:cstheme="minorHAnsi"/>
                <w:bCs w:val="0"/>
                <w:color w:val="auto"/>
                <w:sz w:val="18"/>
                <w:szCs w:val="18"/>
                <w:lang w:eastAsia="en-AU"/>
              </w:rPr>
            </w:pPr>
            <w:r w:rsidRPr="00C94A70">
              <w:rPr>
                <w:rFonts w:asciiTheme="minorHAnsi" w:hAnsiTheme="minorHAnsi" w:cstheme="minorHAnsi"/>
                <w:bCs w:val="0"/>
                <w:color w:val="auto"/>
                <w:sz w:val="18"/>
                <w:szCs w:val="18"/>
                <w:lang w:eastAsia="en-AU"/>
              </w:rPr>
              <w:t>R</w:t>
            </w:r>
            <w:r w:rsidR="00261E30" w:rsidRPr="00C94A70">
              <w:rPr>
                <w:rFonts w:asciiTheme="minorHAnsi" w:hAnsiTheme="minorHAnsi" w:cstheme="minorHAnsi"/>
                <w:bCs w:val="0"/>
                <w:color w:val="auto"/>
                <w:sz w:val="18"/>
                <w:szCs w:val="18"/>
                <w:lang w:eastAsia="en-AU"/>
              </w:rPr>
              <w:t>evi</w:t>
            </w:r>
            <w:r w:rsidR="00643058" w:rsidRPr="00C94A70">
              <w:rPr>
                <w:rFonts w:asciiTheme="minorHAnsi" w:hAnsiTheme="minorHAnsi" w:cstheme="minorHAnsi"/>
                <w:bCs w:val="0"/>
                <w:color w:val="auto"/>
                <w:sz w:val="18"/>
                <w:szCs w:val="18"/>
                <w:lang w:eastAsia="en-AU"/>
              </w:rPr>
              <w:t>s</w:t>
            </w:r>
            <w:r w:rsidRPr="00C94A70">
              <w:rPr>
                <w:rFonts w:asciiTheme="minorHAnsi" w:hAnsiTheme="minorHAnsi" w:cstheme="minorHAnsi"/>
                <w:bCs w:val="0"/>
                <w:color w:val="auto"/>
                <w:sz w:val="18"/>
                <w:szCs w:val="18"/>
                <w:lang w:eastAsia="en-AU"/>
              </w:rPr>
              <w:t>ed</w:t>
            </w:r>
            <w:r w:rsidR="00863644" w:rsidRPr="00C94A70">
              <w:rPr>
                <w:rFonts w:asciiTheme="minorHAnsi" w:hAnsiTheme="minorHAnsi" w:cstheme="minorHAnsi"/>
                <w:bCs w:val="0"/>
                <w:color w:val="auto"/>
                <w:sz w:val="18"/>
                <w:szCs w:val="18"/>
                <w:lang w:eastAsia="en-AU"/>
              </w:rPr>
              <w:tab/>
            </w:r>
            <w:r w:rsidR="00261E30" w:rsidRPr="00C94A70">
              <w:rPr>
                <w:rFonts w:asciiTheme="minorHAnsi" w:hAnsiTheme="minorHAnsi" w:cstheme="minorHAnsi"/>
                <w:bCs w:val="0"/>
                <w:color w:val="auto"/>
                <w:sz w:val="18"/>
                <w:szCs w:val="18"/>
                <w:lang w:eastAsia="en-AU"/>
              </w:rPr>
              <w:t xml:space="preserve">: </w:t>
            </w:r>
            <w:r w:rsidR="00970844" w:rsidRPr="00970844">
              <w:rPr>
                <w:rFonts w:asciiTheme="minorHAnsi" w:hAnsiTheme="minorHAnsi" w:cstheme="minorHAnsi"/>
                <w:b w:val="0"/>
                <w:color w:val="auto"/>
                <w:sz w:val="18"/>
                <w:szCs w:val="18"/>
                <w:lang w:eastAsia="en-AU"/>
              </w:rPr>
              <w:t>01-03-2026</w:t>
            </w:r>
          </w:p>
          <w:p w14:paraId="5337993D" w14:textId="2A533540" w:rsidR="00261E30" w:rsidRPr="00C94A70" w:rsidRDefault="00445F66" w:rsidP="00903364">
            <w:pPr>
              <w:tabs>
                <w:tab w:val="left" w:pos="882"/>
                <w:tab w:val="left" w:pos="6999"/>
              </w:tabs>
              <w:spacing w:after="0" w:line="240" w:lineRule="auto"/>
              <w:jc w:val="both"/>
              <w:rPr>
                <w:rFonts w:asciiTheme="minorHAnsi" w:hAnsiTheme="minorHAnsi" w:cstheme="minorHAnsi"/>
                <w:bCs w:val="0"/>
                <w:color w:val="auto"/>
                <w:sz w:val="18"/>
                <w:szCs w:val="18"/>
                <w:lang w:eastAsia="en-AU"/>
              </w:rPr>
            </w:pPr>
            <w:r w:rsidRPr="00C94A70">
              <w:rPr>
                <w:rFonts w:asciiTheme="minorHAnsi" w:hAnsiTheme="minorHAnsi" w:cstheme="minorHAnsi"/>
                <w:bCs w:val="0"/>
                <w:color w:val="auto"/>
                <w:sz w:val="18"/>
                <w:szCs w:val="18"/>
                <w:lang w:eastAsia="en-AU"/>
              </w:rPr>
              <w:t>Accepted</w:t>
            </w:r>
            <w:r w:rsidR="00863644" w:rsidRPr="00C94A70">
              <w:rPr>
                <w:rFonts w:asciiTheme="minorHAnsi" w:hAnsiTheme="minorHAnsi" w:cstheme="minorHAnsi"/>
                <w:bCs w:val="0"/>
                <w:color w:val="auto"/>
                <w:sz w:val="18"/>
                <w:szCs w:val="18"/>
                <w:lang w:eastAsia="en-AU"/>
              </w:rPr>
              <w:tab/>
            </w:r>
            <w:r w:rsidR="00261E30" w:rsidRPr="00C94A70">
              <w:rPr>
                <w:rFonts w:asciiTheme="minorHAnsi" w:hAnsiTheme="minorHAnsi" w:cstheme="minorHAnsi"/>
                <w:bCs w:val="0"/>
                <w:color w:val="auto"/>
                <w:sz w:val="18"/>
                <w:szCs w:val="18"/>
                <w:lang w:eastAsia="en-AU"/>
              </w:rPr>
              <w:t xml:space="preserve">: </w:t>
            </w:r>
            <w:r w:rsidR="00970844" w:rsidRPr="00970844">
              <w:rPr>
                <w:rFonts w:asciiTheme="minorHAnsi" w:hAnsiTheme="minorHAnsi" w:cstheme="minorHAnsi"/>
                <w:b w:val="0"/>
                <w:color w:val="auto"/>
                <w:sz w:val="18"/>
                <w:szCs w:val="18"/>
                <w:lang w:eastAsia="en-AU"/>
              </w:rPr>
              <w:t>05-03-2026</w:t>
            </w:r>
          </w:p>
          <w:p w14:paraId="16FE9AB8" w14:textId="77777777" w:rsidR="00261E30" w:rsidRPr="00C94A70" w:rsidRDefault="00261E30" w:rsidP="00903364">
            <w:pPr>
              <w:tabs>
                <w:tab w:val="left" w:pos="6999"/>
              </w:tabs>
              <w:spacing w:after="0" w:line="240" w:lineRule="auto"/>
              <w:jc w:val="both"/>
              <w:rPr>
                <w:rFonts w:asciiTheme="minorHAnsi" w:hAnsiTheme="minorHAnsi" w:cstheme="minorHAnsi"/>
                <w:bCs w:val="0"/>
                <w:color w:val="auto"/>
                <w:sz w:val="18"/>
                <w:szCs w:val="18"/>
                <w:lang w:eastAsia="en-AU"/>
              </w:rPr>
            </w:pPr>
          </w:p>
          <w:p w14:paraId="28B25F7D" w14:textId="08F13012" w:rsidR="00261E30" w:rsidRPr="00C94A70" w:rsidRDefault="00261E30" w:rsidP="00903364">
            <w:pPr>
              <w:spacing w:after="0" w:line="240" w:lineRule="auto"/>
              <w:jc w:val="both"/>
              <w:rPr>
                <w:rFonts w:asciiTheme="minorHAnsi" w:hAnsiTheme="minorHAnsi" w:cstheme="minorHAnsi"/>
                <w:color w:val="auto"/>
                <w:sz w:val="18"/>
                <w:szCs w:val="18"/>
              </w:rPr>
            </w:pPr>
            <w:r w:rsidRPr="00C94A70">
              <w:rPr>
                <w:rFonts w:asciiTheme="minorHAnsi" w:hAnsiTheme="minorHAnsi" w:cstheme="minorHAnsi"/>
                <w:color w:val="auto"/>
                <w:sz w:val="18"/>
                <w:szCs w:val="18"/>
              </w:rPr>
              <w:t>Keywords:</w:t>
            </w:r>
            <w:r w:rsidR="000A3B99" w:rsidRPr="00C94A70">
              <w:rPr>
                <w:rFonts w:asciiTheme="minorHAnsi" w:hAnsiTheme="minorHAnsi" w:cstheme="minorHAnsi"/>
                <w:color w:val="auto"/>
                <w:sz w:val="18"/>
                <w:szCs w:val="18"/>
              </w:rPr>
              <w:t xml:space="preserve"> </w:t>
            </w:r>
            <w:r w:rsidR="00C57640" w:rsidRPr="00C94A70">
              <w:rPr>
                <w:rFonts w:asciiTheme="minorHAnsi" w:hAnsiTheme="minorHAnsi" w:cstheme="minorHAnsi"/>
                <w:b w:val="0"/>
                <w:bCs w:val="0"/>
                <w:color w:val="auto"/>
                <w:sz w:val="16"/>
                <w:szCs w:val="16"/>
                <w:lang w:val="en"/>
              </w:rPr>
              <w:t>antibiotic resistance, first-line antibiotics</w:t>
            </w:r>
            <w:r w:rsidR="00C57640">
              <w:rPr>
                <w:rFonts w:asciiTheme="minorHAnsi" w:hAnsiTheme="minorHAnsi" w:cstheme="minorHAnsi"/>
                <w:b w:val="0"/>
                <w:bCs w:val="0"/>
                <w:color w:val="auto"/>
                <w:sz w:val="16"/>
                <w:szCs w:val="16"/>
                <w:lang w:val="en"/>
              </w:rPr>
              <w:t>,</w:t>
            </w:r>
            <w:r w:rsidR="00C57640" w:rsidRPr="00C57640">
              <w:rPr>
                <w:rFonts w:asciiTheme="minorHAnsi" w:hAnsiTheme="minorHAnsi" w:cstheme="minorHAnsi"/>
                <w:b w:val="0"/>
                <w:bCs w:val="0"/>
                <w:color w:val="auto"/>
                <w:sz w:val="18"/>
                <w:szCs w:val="18"/>
              </w:rPr>
              <w:t xml:space="preserve"> s</w:t>
            </w:r>
            <w:r w:rsidR="000A3B99" w:rsidRPr="00C94A70">
              <w:rPr>
                <w:rFonts w:asciiTheme="minorHAnsi" w:hAnsiTheme="minorHAnsi" w:cstheme="minorHAnsi"/>
                <w:b w:val="0"/>
                <w:bCs w:val="0"/>
                <w:color w:val="auto"/>
                <w:sz w:val="16"/>
                <w:szCs w:val="16"/>
              </w:rPr>
              <w:t>epsis</w:t>
            </w:r>
            <w:r w:rsidR="00C57640">
              <w:rPr>
                <w:rFonts w:asciiTheme="minorHAnsi" w:hAnsiTheme="minorHAnsi" w:cstheme="minorHAnsi"/>
                <w:b w:val="0"/>
                <w:bCs w:val="0"/>
                <w:color w:val="auto"/>
                <w:sz w:val="16"/>
                <w:szCs w:val="16"/>
              </w:rPr>
              <w:t>.</w:t>
            </w:r>
          </w:p>
          <w:p w14:paraId="1DBE04E6" w14:textId="77777777" w:rsidR="00445F66" w:rsidRPr="00C94A70" w:rsidRDefault="00445F66" w:rsidP="00903364">
            <w:pPr>
              <w:spacing w:after="0" w:line="240" w:lineRule="auto"/>
              <w:jc w:val="both"/>
              <w:rPr>
                <w:rFonts w:asciiTheme="minorHAnsi" w:hAnsiTheme="minorHAnsi" w:cstheme="minorHAnsi"/>
                <w:b w:val="0"/>
                <w:bCs w:val="0"/>
                <w:color w:val="auto"/>
                <w:sz w:val="18"/>
                <w:szCs w:val="18"/>
              </w:rPr>
            </w:pPr>
          </w:p>
          <w:p w14:paraId="2622F75F" w14:textId="46A67E6D" w:rsidR="00261E30" w:rsidRPr="00C94A70" w:rsidRDefault="0030079F" w:rsidP="00903364">
            <w:pPr>
              <w:tabs>
                <w:tab w:val="left" w:pos="6999"/>
              </w:tabs>
              <w:spacing w:after="0" w:line="240" w:lineRule="auto"/>
              <w:jc w:val="both"/>
              <w:rPr>
                <w:rFonts w:asciiTheme="minorHAnsi" w:hAnsiTheme="minorHAnsi" w:cstheme="minorHAnsi"/>
                <w:bCs w:val="0"/>
                <w:color w:val="auto"/>
                <w:sz w:val="18"/>
                <w:szCs w:val="18"/>
                <w:lang w:eastAsia="en-AU"/>
              </w:rPr>
            </w:pPr>
            <w:r w:rsidRPr="00C94A70">
              <w:rPr>
                <w:rFonts w:asciiTheme="minorHAnsi" w:hAnsiTheme="minorHAnsi" w:cstheme="minorHAnsi"/>
                <w:bCs w:val="0"/>
                <w:color w:val="auto"/>
                <w:sz w:val="18"/>
                <w:szCs w:val="18"/>
                <w:lang w:eastAsia="en-AU"/>
              </w:rPr>
              <w:t>Correspondence</w:t>
            </w:r>
            <w:r w:rsidR="00261E30" w:rsidRPr="00C94A70">
              <w:rPr>
                <w:rFonts w:asciiTheme="minorHAnsi" w:hAnsiTheme="minorHAnsi" w:cstheme="minorHAnsi"/>
                <w:bCs w:val="0"/>
                <w:color w:val="auto"/>
                <w:sz w:val="18"/>
                <w:szCs w:val="18"/>
                <w:lang w:eastAsia="en-AU"/>
              </w:rPr>
              <w:t>:</w:t>
            </w:r>
          </w:p>
          <w:p w14:paraId="2C9D0833" w14:textId="19F3FCB7" w:rsidR="000A3B99" w:rsidRPr="00B749F1" w:rsidRDefault="00B749F1" w:rsidP="00903364">
            <w:pPr>
              <w:tabs>
                <w:tab w:val="left" w:pos="6999"/>
              </w:tabs>
              <w:spacing w:after="0" w:line="240" w:lineRule="auto"/>
              <w:jc w:val="both"/>
              <w:rPr>
                <w:rFonts w:asciiTheme="minorHAnsi" w:hAnsiTheme="minorHAnsi" w:cstheme="minorHAnsi"/>
                <w:b w:val="0"/>
                <w:color w:val="auto"/>
                <w:sz w:val="16"/>
                <w:szCs w:val="16"/>
                <w:lang w:eastAsia="en-AU"/>
              </w:rPr>
            </w:pPr>
            <w:r w:rsidRPr="00B749F1">
              <w:rPr>
                <w:rFonts w:asciiTheme="minorHAnsi" w:hAnsiTheme="minorHAnsi" w:cstheme="minorHAnsi"/>
                <w:b w:val="0"/>
                <w:color w:val="auto"/>
                <w:sz w:val="16"/>
                <w:szCs w:val="16"/>
                <w:lang w:eastAsia="en-AU"/>
              </w:rPr>
              <w:t>Dwi Arymbhi Sanjaya</w:t>
            </w:r>
          </w:p>
          <w:p w14:paraId="76C17C38" w14:textId="389A4397" w:rsidR="00B749F1" w:rsidRPr="00B749F1" w:rsidRDefault="00B749F1" w:rsidP="00903364">
            <w:pPr>
              <w:tabs>
                <w:tab w:val="left" w:pos="6999"/>
              </w:tabs>
              <w:spacing w:after="0" w:line="240" w:lineRule="auto"/>
              <w:jc w:val="both"/>
              <w:rPr>
                <w:rFonts w:asciiTheme="minorHAnsi" w:hAnsiTheme="minorHAnsi" w:cstheme="minorHAnsi"/>
                <w:b w:val="0"/>
                <w:bCs w:val="0"/>
                <w:color w:val="auto"/>
                <w:sz w:val="16"/>
                <w:szCs w:val="16"/>
                <w:lang w:eastAsia="en-AU"/>
              </w:rPr>
            </w:pPr>
            <w:hyperlink r:id="rId10" w:history="1">
              <w:r w:rsidRPr="00B749F1">
                <w:rPr>
                  <w:rStyle w:val="Hyperlink"/>
                  <w:rFonts w:ascii="Segoe UI" w:hAnsi="Segoe UI" w:cs="Segoe UI"/>
                  <w:b w:val="0"/>
                  <w:bCs w:val="0"/>
                  <w:sz w:val="16"/>
                  <w:szCs w:val="16"/>
                  <w:lang w:eastAsia="en-AU"/>
                </w:rPr>
                <w:t>arymbhi@unmas.ac.id</w:t>
              </w:r>
            </w:hyperlink>
          </w:p>
          <w:p w14:paraId="47D0F2E6" w14:textId="77777777" w:rsidR="00563F2E" w:rsidRPr="00C94A70" w:rsidRDefault="00563F2E" w:rsidP="00903364">
            <w:pPr>
              <w:tabs>
                <w:tab w:val="left" w:pos="6999"/>
              </w:tabs>
              <w:spacing w:after="0" w:line="240" w:lineRule="auto"/>
              <w:jc w:val="both"/>
              <w:rPr>
                <w:rFonts w:asciiTheme="minorHAnsi" w:hAnsiTheme="minorHAnsi" w:cstheme="minorHAnsi"/>
                <w:bCs w:val="0"/>
                <w:color w:val="auto"/>
                <w:sz w:val="16"/>
                <w:szCs w:val="16"/>
                <w:lang w:eastAsia="en-AU"/>
              </w:rPr>
            </w:pPr>
          </w:p>
          <w:p w14:paraId="24BB0B71" w14:textId="77777777" w:rsidR="00563F2E" w:rsidRPr="00C94A70" w:rsidRDefault="00563F2E" w:rsidP="00903364">
            <w:pPr>
              <w:tabs>
                <w:tab w:val="left" w:pos="6999"/>
              </w:tabs>
              <w:spacing w:after="0" w:line="240" w:lineRule="auto"/>
              <w:jc w:val="both"/>
              <w:rPr>
                <w:rFonts w:asciiTheme="minorHAnsi" w:hAnsiTheme="minorHAnsi" w:cstheme="minorHAnsi"/>
                <w:b w:val="0"/>
                <w:bCs w:val="0"/>
                <w:color w:val="auto"/>
                <w:sz w:val="18"/>
                <w:szCs w:val="18"/>
                <w:lang w:eastAsia="en-AU"/>
              </w:rPr>
            </w:pPr>
          </w:p>
          <w:p w14:paraId="0233030B" w14:textId="77777777" w:rsidR="0030079F" w:rsidRPr="00C94A70" w:rsidRDefault="0030079F" w:rsidP="00903364">
            <w:pPr>
              <w:tabs>
                <w:tab w:val="left" w:pos="6999"/>
              </w:tabs>
              <w:spacing w:after="0" w:line="240" w:lineRule="auto"/>
              <w:jc w:val="both"/>
              <w:rPr>
                <w:rFonts w:asciiTheme="minorHAnsi" w:hAnsiTheme="minorHAnsi" w:cstheme="minorHAnsi"/>
                <w:b w:val="0"/>
                <w:color w:val="auto"/>
                <w:sz w:val="18"/>
                <w:szCs w:val="18"/>
                <w:lang w:eastAsia="en-AU"/>
              </w:rPr>
            </w:pPr>
          </w:p>
          <w:p w14:paraId="3DB15DD0" w14:textId="77777777" w:rsidR="00261E30" w:rsidRPr="00C94A70" w:rsidRDefault="00261E30" w:rsidP="00903364">
            <w:pPr>
              <w:tabs>
                <w:tab w:val="left" w:pos="6999"/>
              </w:tabs>
              <w:spacing w:after="0" w:line="240" w:lineRule="auto"/>
              <w:jc w:val="both"/>
              <w:rPr>
                <w:rFonts w:asciiTheme="minorHAnsi" w:hAnsiTheme="minorHAnsi" w:cstheme="minorHAnsi"/>
                <w:b w:val="0"/>
                <w:color w:val="auto"/>
                <w:sz w:val="18"/>
                <w:szCs w:val="18"/>
                <w:lang w:eastAsia="en-AU"/>
              </w:rPr>
            </w:pPr>
            <w:r w:rsidRPr="00C94A70">
              <w:rPr>
                <w:rFonts w:asciiTheme="minorHAnsi" w:hAnsiTheme="minorHAnsi" w:cstheme="minorHAnsi"/>
                <w:noProof/>
                <w:sz w:val="18"/>
                <w:szCs w:val="18"/>
              </w:rPr>
              <w:drawing>
                <wp:inline distT="0" distB="0" distL="0" distR="0" wp14:anchorId="63C98D34" wp14:editId="18730956">
                  <wp:extent cx="632209" cy="222261"/>
                  <wp:effectExtent l="0" t="0" r="0" b="6350"/>
                  <wp:docPr id="2" name="Picture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1"/>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32209" cy="222261"/>
                          </a:xfrm>
                          <a:prstGeom prst="rect">
                            <a:avLst/>
                          </a:prstGeom>
                        </pic:spPr>
                      </pic:pic>
                    </a:graphicData>
                  </a:graphic>
                </wp:inline>
              </w:drawing>
            </w:r>
          </w:p>
          <w:p w14:paraId="5868BC45" w14:textId="209F5092" w:rsidR="00261E30" w:rsidRPr="00C94A70" w:rsidRDefault="008751F3" w:rsidP="00903364">
            <w:pPr>
              <w:tabs>
                <w:tab w:val="left" w:pos="6999"/>
              </w:tabs>
              <w:spacing w:after="120" w:line="240" w:lineRule="auto"/>
              <w:rPr>
                <w:rFonts w:asciiTheme="minorHAnsi" w:hAnsiTheme="minorHAnsi" w:cstheme="minorHAnsi"/>
                <w:i/>
                <w:sz w:val="18"/>
                <w:szCs w:val="18"/>
                <w:lang w:eastAsia="en-AU"/>
              </w:rPr>
            </w:pPr>
            <w:r w:rsidRPr="00C94A70">
              <w:rPr>
                <w:rFonts w:asciiTheme="minorHAnsi" w:hAnsiTheme="minorHAnsi" w:cstheme="minorHAnsi"/>
                <w:sz w:val="18"/>
                <w:szCs w:val="18"/>
                <w:lang w:eastAsia="en-AU"/>
              </w:rPr>
              <w:t>License</w:t>
            </w:r>
            <w:r w:rsidR="00261E30" w:rsidRPr="00C94A70">
              <w:rPr>
                <w:rFonts w:asciiTheme="minorHAnsi" w:hAnsiTheme="minorHAnsi" w:cstheme="minorHAnsi"/>
                <w:i/>
                <w:sz w:val="18"/>
                <w:szCs w:val="18"/>
                <w:lang w:eastAsia="en-AU"/>
              </w:rPr>
              <w:t>: CC BY-NC-</w:t>
            </w:r>
            <w:r w:rsidR="002C2FBC" w:rsidRPr="00C94A70">
              <w:rPr>
                <w:rFonts w:asciiTheme="minorHAnsi" w:hAnsiTheme="minorHAnsi" w:cstheme="minorHAnsi"/>
                <w:i/>
                <w:sz w:val="18"/>
                <w:szCs w:val="18"/>
                <w:lang w:eastAsia="en-AU"/>
              </w:rPr>
              <w:t>SA</w:t>
            </w:r>
            <w:r w:rsidR="00261E30" w:rsidRPr="00C94A70">
              <w:rPr>
                <w:rFonts w:asciiTheme="minorHAnsi" w:hAnsiTheme="minorHAnsi" w:cstheme="minorHAnsi"/>
                <w:i/>
                <w:sz w:val="18"/>
                <w:szCs w:val="18"/>
                <w:lang w:eastAsia="en-AU"/>
              </w:rPr>
              <w:t xml:space="preserve"> 4.0</w:t>
            </w:r>
          </w:p>
          <w:p w14:paraId="28C3F14B" w14:textId="6FD5CCDA" w:rsidR="00261E30" w:rsidRPr="00C94A70" w:rsidRDefault="00261E30" w:rsidP="00903364">
            <w:pPr>
              <w:tabs>
                <w:tab w:val="left" w:pos="6999"/>
              </w:tabs>
              <w:spacing w:after="0" w:line="240" w:lineRule="auto"/>
              <w:rPr>
                <w:rFonts w:asciiTheme="minorHAnsi" w:hAnsiTheme="minorHAnsi" w:cstheme="minorHAnsi"/>
                <w:bCs w:val="0"/>
                <w:color w:val="auto"/>
                <w:sz w:val="18"/>
                <w:szCs w:val="18"/>
                <w:lang w:eastAsia="en-AU"/>
              </w:rPr>
            </w:pPr>
            <w:r w:rsidRPr="00C94A70">
              <w:rPr>
                <w:rFonts w:asciiTheme="minorHAnsi" w:hAnsiTheme="minorHAnsi" w:cstheme="minorHAnsi"/>
                <w:bCs w:val="0"/>
                <w:i/>
                <w:color w:val="auto"/>
                <w:sz w:val="18"/>
                <w:szCs w:val="18"/>
                <w:lang w:eastAsia="en-AU"/>
              </w:rPr>
              <w:t>Copyright ©202</w:t>
            </w:r>
            <w:r w:rsidR="002040AB" w:rsidRPr="00C94A70">
              <w:rPr>
                <w:rFonts w:asciiTheme="minorHAnsi" w:hAnsiTheme="minorHAnsi" w:cstheme="minorHAnsi"/>
                <w:bCs w:val="0"/>
                <w:i/>
                <w:color w:val="auto"/>
                <w:sz w:val="18"/>
                <w:szCs w:val="18"/>
                <w:lang w:eastAsia="en-AU"/>
              </w:rPr>
              <w:t>6</w:t>
            </w:r>
            <w:r w:rsidRPr="00C94A70">
              <w:rPr>
                <w:rFonts w:asciiTheme="minorHAnsi" w:hAnsiTheme="minorHAnsi" w:cstheme="minorHAnsi"/>
                <w:bCs w:val="0"/>
                <w:i/>
                <w:color w:val="auto"/>
                <w:sz w:val="18"/>
                <w:szCs w:val="18"/>
                <w:lang w:eastAsia="en-AU"/>
              </w:rPr>
              <w:t xml:space="preserve"> </w:t>
            </w:r>
            <w:r w:rsidR="00067495" w:rsidRPr="00C94A70">
              <w:rPr>
                <w:rFonts w:asciiTheme="minorHAnsi" w:hAnsiTheme="minorHAnsi" w:cstheme="minorHAnsi"/>
                <w:bCs w:val="0"/>
                <w:i/>
                <w:color w:val="auto"/>
                <w:sz w:val="18"/>
                <w:szCs w:val="18"/>
                <w:lang w:eastAsia="en-AU"/>
              </w:rPr>
              <w:t>Authors</w:t>
            </w:r>
          </w:p>
        </w:tc>
        <w:tc>
          <w:tcPr>
            <w:tcW w:w="6934" w:type="dxa"/>
          </w:tcPr>
          <w:p w14:paraId="000C9614" w14:textId="65E97BA7" w:rsidR="00261E30" w:rsidRPr="00C94A70" w:rsidRDefault="00802E00" w:rsidP="00903364">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auto"/>
                <w:sz w:val="18"/>
                <w:szCs w:val="18"/>
              </w:rPr>
            </w:pPr>
            <w:r w:rsidRPr="00C94A70">
              <w:rPr>
                <w:rFonts w:asciiTheme="minorHAnsi" w:hAnsiTheme="minorHAnsi" w:cstheme="minorHAnsi"/>
                <w:bCs w:val="0"/>
                <w:color w:val="auto"/>
                <w:sz w:val="18"/>
                <w:szCs w:val="18"/>
              </w:rPr>
              <w:t>Abstract</w:t>
            </w:r>
          </w:p>
        </w:tc>
      </w:tr>
      <w:tr w:rsidR="00261E30" w:rsidRPr="00C94A70" w14:paraId="077318E2" w14:textId="77777777" w:rsidTr="003F71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vMerge/>
          </w:tcPr>
          <w:p w14:paraId="12287A2E" w14:textId="294064DF" w:rsidR="00261E30" w:rsidRPr="00C94A70" w:rsidRDefault="00261E30" w:rsidP="00903364">
            <w:pPr>
              <w:tabs>
                <w:tab w:val="left" w:pos="6999"/>
              </w:tabs>
              <w:spacing w:after="0" w:line="240" w:lineRule="auto"/>
              <w:rPr>
                <w:rFonts w:asciiTheme="minorHAnsi" w:hAnsiTheme="minorHAnsi" w:cstheme="minorHAnsi"/>
                <w:bCs w:val="0"/>
                <w:color w:val="auto"/>
                <w:sz w:val="18"/>
                <w:szCs w:val="18"/>
                <w:lang w:eastAsia="en-AU"/>
              </w:rPr>
            </w:pPr>
          </w:p>
        </w:tc>
        <w:tc>
          <w:tcPr>
            <w:tcW w:w="6934" w:type="dxa"/>
            <w:tcBorders>
              <w:bottom w:val="single" w:sz="4" w:space="0" w:color="9CC2E5" w:themeColor="accent5" w:themeTint="99"/>
            </w:tcBorders>
            <w:shd w:val="clear" w:color="auto" w:fill="auto"/>
          </w:tcPr>
          <w:p w14:paraId="746C8C61" w14:textId="77777777" w:rsidR="007727FC" w:rsidRDefault="007727FC" w:rsidP="009033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18"/>
                <w:lang w:eastAsia="en-AU"/>
              </w:rPr>
            </w:pPr>
            <w:r w:rsidRPr="007727FC">
              <w:rPr>
                <w:rFonts w:asciiTheme="minorHAnsi" w:hAnsiTheme="minorHAnsi" w:cstheme="minorHAnsi"/>
                <w:b/>
                <w:color w:val="auto"/>
                <w:sz w:val="18"/>
                <w:szCs w:val="18"/>
                <w:lang w:eastAsia="en-AU"/>
              </w:rPr>
              <w:t>Background</w:t>
            </w:r>
            <w:r>
              <w:rPr>
                <w:rFonts w:asciiTheme="minorHAnsi" w:hAnsiTheme="minorHAnsi" w:cstheme="minorHAnsi"/>
                <w:bCs/>
                <w:color w:val="auto"/>
                <w:sz w:val="18"/>
                <w:szCs w:val="18"/>
                <w:lang w:eastAsia="en-AU"/>
              </w:rPr>
              <w:t xml:space="preserve">: </w:t>
            </w:r>
            <w:r w:rsidR="000A3B99" w:rsidRPr="00C94A70">
              <w:rPr>
                <w:rFonts w:asciiTheme="minorHAnsi" w:hAnsiTheme="minorHAnsi" w:cstheme="minorHAnsi"/>
                <w:bCs/>
                <w:color w:val="auto"/>
                <w:sz w:val="18"/>
                <w:szCs w:val="18"/>
                <w:lang w:eastAsia="en-AU"/>
              </w:rPr>
              <w:t>Sepsis is a significant infectious disease linked to high mortality rates. Several bacterial pathogens that cause sepsis have shown resistance to first-line antibiotics. This resistance in sepsis-causing bacteria to initial antibiotic agents threatens treatment success, elevating mortality risk, healthcare costs, and prolonged hospital stays.</w:t>
            </w:r>
          </w:p>
          <w:p w14:paraId="67F044B5" w14:textId="282D03EA" w:rsidR="007727FC" w:rsidRDefault="007727FC" w:rsidP="009033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18"/>
                <w:lang w:eastAsia="en-AU"/>
              </w:rPr>
            </w:pPr>
            <w:r w:rsidRPr="007727FC">
              <w:rPr>
                <w:rFonts w:asciiTheme="minorHAnsi" w:hAnsiTheme="minorHAnsi" w:cstheme="minorHAnsi"/>
                <w:b/>
                <w:color w:val="auto"/>
                <w:sz w:val="18"/>
                <w:szCs w:val="18"/>
                <w:lang w:eastAsia="en-AU"/>
              </w:rPr>
              <w:t>Objective</w:t>
            </w:r>
            <w:r>
              <w:rPr>
                <w:rFonts w:asciiTheme="minorHAnsi" w:hAnsiTheme="minorHAnsi" w:cstheme="minorHAnsi"/>
                <w:bCs/>
                <w:color w:val="auto"/>
                <w:sz w:val="18"/>
                <w:szCs w:val="18"/>
                <w:lang w:eastAsia="en-AU"/>
              </w:rPr>
              <w:t xml:space="preserve">: </w:t>
            </w:r>
            <w:r w:rsidR="000A3B99" w:rsidRPr="00C94A70">
              <w:rPr>
                <w:rFonts w:asciiTheme="minorHAnsi" w:hAnsiTheme="minorHAnsi" w:cstheme="minorHAnsi"/>
                <w:bCs/>
                <w:color w:val="auto"/>
                <w:sz w:val="18"/>
                <w:szCs w:val="18"/>
                <w:lang w:eastAsia="en-AU"/>
              </w:rPr>
              <w:t>This study aimed to investigate the relationship between the resistance of sepsis-causing bacteria to first-line antibiotics and sepsis treatment outcomes.</w:t>
            </w:r>
          </w:p>
          <w:p w14:paraId="11D50F9D" w14:textId="2948E2D8" w:rsidR="00C57640" w:rsidRDefault="007727FC" w:rsidP="009033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18"/>
                <w:lang w:eastAsia="en-AU"/>
              </w:rPr>
            </w:pPr>
            <w:r w:rsidRPr="007727FC">
              <w:rPr>
                <w:rFonts w:asciiTheme="minorHAnsi" w:hAnsiTheme="minorHAnsi" w:cstheme="minorHAnsi"/>
                <w:b/>
                <w:color w:val="auto"/>
                <w:sz w:val="18"/>
                <w:szCs w:val="18"/>
                <w:lang w:eastAsia="en-AU"/>
              </w:rPr>
              <w:t>Methods</w:t>
            </w:r>
            <w:r>
              <w:rPr>
                <w:rFonts w:asciiTheme="minorHAnsi" w:hAnsiTheme="minorHAnsi" w:cstheme="minorHAnsi"/>
                <w:bCs/>
                <w:color w:val="auto"/>
                <w:sz w:val="18"/>
                <w:szCs w:val="18"/>
                <w:lang w:eastAsia="en-AU"/>
              </w:rPr>
              <w:t xml:space="preserve">: </w:t>
            </w:r>
            <w:r w:rsidR="007B134B" w:rsidRPr="00C94A70">
              <w:rPr>
                <w:rFonts w:asciiTheme="minorHAnsi" w:hAnsiTheme="minorHAnsi" w:cstheme="minorHAnsi"/>
                <w:bCs/>
                <w:color w:val="auto"/>
                <w:sz w:val="18"/>
                <w:szCs w:val="18"/>
                <w:lang w:eastAsia="en-AU"/>
              </w:rPr>
              <w:t>This cross-sectional study was a single-</w:t>
            </w:r>
            <w:r w:rsidR="00457BB8" w:rsidRPr="00C94A70">
              <w:rPr>
                <w:rFonts w:asciiTheme="minorHAnsi" w:hAnsiTheme="minorHAnsi" w:cstheme="minorHAnsi"/>
                <w:bCs/>
                <w:color w:val="auto"/>
                <w:sz w:val="18"/>
                <w:szCs w:val="18"/>
                <w:lang w:eastAsia="en-AU"/>
              </w:rPr>
              <w:t>center</w:t>
            </w:r>
            <w:r w:rsidR="007B134B" w:rsidRPr="00C94A70">
              <w:rPr>
                <w:rFonts w:asciiTheme="minorHAnsi" w:hAnsiTheme="minorHAnsi" w:cstheme="minorHAnsi"/>
                <w:bCs/>
                <w:color w:val="auto"/>
                <w:sz w:val="18"/>
                <w:szCs w:val="18"/>
                <w:lang w:eastAsia="en-AU"/>
              </w:rPr>
              <w:t xml:space="preserve"> retrospective study. Data were collected from sepsis patients admitted to the intensive care unit of a general hospital in Bali between 2022 and 2023. The patients included in this study were those with a positive bacterial infection, as provided in </w:t>
            </w:r>
            <w:r w:rsidR="00737FDB">
              <w:rPr>
                <w:rFonts w:asciiTheme="minorHAnsi" w:hAnsiTheme="minorHAnsi" w:cstheme="minorHAnsi"/>
                <w:bCs/>
                <w:color w:val="auto"/>
                <w:sz w:val="18"/>
                <w:szCs w:val="18"/>
                <w:lang w:eastAsia="en-AU"/>
              </w:rPr>
              <w:t xml:space="preserve">the </w:t>
            </w:r>
            <w:r w:rsidR="007B134B" w:rsidRPr="00C94A70">
              <w:rPr>
                <w:rFonts w:asciiTheme="minorHAnsi" w:hAnsiTheme="minorHAnsi" w:cstheme="minorHAnsi"/>
                <w:bCs/>
                <w:color w:val="auto"/>
                <w:sz w:val="18"/>
                <w:szCs w:val="18"/>
                <w:lang w:eastAsia="en-AU"/>
              </w:rPr>
              <w:t>culture result</w:t>
            </w:r>
            <w:r w:rsidR="000A3B99" w:rsidRPr="00C94A70">
              <w:rPr>
                <w:rFonts w:asciiTheme="minorHAnsi" w:hAnsiTheme="minorHAnsi" w:cstheme="minorHAnsi"/>
                <w:bCs/>
                <w:color w:val="auto"/>
                <w:sz w:val="18"/>
                <w:szCs w:val="18"/>
                <w:lang w:eastAsia="en-AU"/>
              </w:rPr>
              <w:t xml:space="preserve">. Therapy outcomes were evaluated based on discharge status: improved or unimproved (deceased). The resistance of sepsis-causing bacteria to first-line antibiotics, including fluoroquinolones, third- and fourth-generation cephalosporins, piperacillin-tazobactam, and vancomycin, was assessed through blood cultures. The relationship between antibiotic resistance and therapy outcomes was </w:t>
            </w:r>
            <w:r w:rsidR="00457BB8" w:rsidRPr="00C94A70">
              <w:rPr>
                <w:rFonts w:asciiTheme="minorHAnsi" w:hAnsiTheme="minorHAnsi" w:cstheme="minorHAnsi"/>
                <w:bCs/>
                <w:color w:val="auto"/>
                <w:sz w:val="18"/>
                <w:szCs w:val="18"/>
                <w:lang w:eastAsia="en-AU"/>
              </w:rPr>
              <w:t>analyzed</w:t>
            </w:r>
            <w:r w:rsidR="000A3B99" w:rsidRPr="00C94A70">
              <w:rPr>
                <w:rFonts w:asciiTheme="minorHAnsi" w:hAnsiTheme="minorHAnsi" w:cstheme="minorHAnsi"/>
                <w:bCs/>
                <w:color w:val="auto"/>
                <w:sz w:val="18"/>
                <w:szCs w:val="18"/>
                <w:lang w:eastAsia="en-AU"/>
              </w:rPr>
              <w:t xml:space="preserve"> using the Gamma correlation coefficient. This study included 57 of 108 sepsis patients, primarily male (57.89%) and older than 60 years (57.89%).</w:t>
            </w:r>
          </w:p>
          <w:p w14:paraId="56E10FDB" w14:textId="608DB8F8" w:rsidR="00C57640" w:rsidRDefault="00C57640" w:rsidP="009033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18"/>
                <w:lang w:eastAsia="en-AU"/>
              </w:rPr>
            </w:pPr>
            <w:r w:rsidRPr="00C57640">
              <w:rPr>
                <w:rFonts w:asciiTheme="minorHAnsi" w:hAnsiTheme="minorHAnsi" w:cstheme="minorHAnsi"/>
                <w:b/>
                <w:color w:val="auto"/>
                <w:sz w:val="18"/>
                <w:szCs w:val="18"/>
                <w:lang w:eastAsia="en-AU"/>
              </w:rPr>
              <w:t>Results</w:t>
            </w:r>
            <w:r>
              <w:rPr>
                <w:rFonts w:asciiTheme="minorHAnsi" w:hAnsiTheme="minorHAnsi" w:cstheme="minorHAnsi"/>
                <w:bCs/>
                <w:color w:val="auto"/>
                <w:sz w:val="18"/>
                <w:szCs w:val="18"/>
                <w:lang w:eastAsia="en-AU"/>
              </w:rPr>
              <w:t xml:space="preserve">: </w:t>
            </w:r>
            <w:r w:rsidR="000A3B99" w:rsidRPr="00C94A70">
              <w:rPr>
                <w:rFonts w:asciiTheme="minorHAnsi" w:hAnsiTheme="minorHAnsi" w:cstheme="minorHAnsi"/>
                <w:bCs/>
                <w:color w:val="auto"/>
                <w:sz w:val="18"/>
                <w:szCs w:val="18"/>
                <w:lang w:eastAsia="en-AU"/>
              </w:rPr>
              <w:t>A strong, significant positive correlation was observed between the resistance of sepsis-causing bacteria to third-generation cephalosporins and therapy outcomes (p=0.001; r=0.637). In contrast, resistance to fluoroquinolones (p=0.108; r=0.387), fourth-generation cephalosporin</w:t>
            </w:r>
            <w:r w:rsidR="00F660B1">
              <w:rPr>
                <w:rFonts w:asciiTheme="minorHAnsi" w:hAnsiTheme="minorHAnsi" w:cstheme="minorHAnsi"/>
                <w:bCs/>
                <w:color w:val="auto"/>
                <w:sz w:val="18"/>
                <w:szCs w:val="18"/>
                <w:lang w:eastAsia="en-AU"/>
              </w:rPr>
              <w:t>s</w:t>
            </w:r>
            <w:r w:rsidR="000A3B99" w:rsidRPr="00C94A70">
              <w:rPr>
                <w:rFonts w:asciiTheme="minorHAnsi" w:hAnsiTheme="minorHAnsi" w:cstheme="minorHAnsi"/>
                <w:bCs/>
                <w:color w:val="auto"/>
                <w:sz w:val="18"/>
                <w:szCs w:val="18"/>
                <w:lang w:eastAsia="en-AU"/>
              </w:rPr>
              <w:t xml:space="preserve"> (p=0.377; r=-0.199), piperacillin-tazobactam (p=0.816; r=-0.060), and vancomycin (p=0.911; r=0.030) did not significantly impact therapy outcomes. The outcome of sepsis therapy is </w:t>
            </w:r>
            <w:r w:rsidR="00FD189F" w:rsidRPr="00C94A70">
              <w:rPr>
                <w:rFonts w:asciiTheme="minorHAnsi" w:hAnsiTheme="minorHAnsi" w:cstheme="minorHAnsi"/>
                <w:bCs/>
                <w:color w:val="auto"/>
                <w:sz w:val="18"/>
                <w:szCs w:val="18"/>
                <w:lang w:eastAsia="en-AU"/>
              </w:rPr>
              <w:t>associated with</w:t>
            </w:r>
            <w:r w:rsidR="000A3B99" w:rsidRPr="00C94A70">
              <w:rPr>
                <w:rFonts w:asciiTheme="minorHAnsi" w:hAnsiTheme="minorHAnsi" w:cstheme="minorHAnsi"/>
                <w:bCs/>
                <w:color w:val="auto"/>
                <w:sz w:val="18"/>
                <w:szCs w:val="18"/>
                <w:lang w:eastAsia="en-AU"/>
              </w:rPr>
              <w:t xml:space="preserve"> resistance of sepsis-causing bacteria to third-generation cephalosporins but not to fluoroquinolones, fourth-generation cephalosporins, piperacillin-tazobactam, or vancomycin</w:t>
            </w:r>
            <w:r w:rsidR="0028439E" w:rsidRPr="00C94A70">
              <w:rPr>
                <w:rFonts w:asciiTheme="minorHAnsi" w:hAnsiTheme="minorHAnsi" w:cstheme="minorHAnsi"/>
                <w:bCs/>
                <w:color w:val="auto"/>
                <w:sz w:val="18"/>
                <w:szCs w:val="18"/>
                <w:lang w:eastAsia="en-AU"/>
              </w:rPr>
              <w:t>. This study uses a relatively small sample size, which precludes subgroup analyses.</w:t>
            </w:r>
          </w:p>
          <w:p w14:paraId="35E403D0" w14:textId="5851077A" w:rsidR="000A3B99" w:rsidRPr="00C94A70" w:rsidRDefault="00C57640" w:rsidP="00903364">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auto"/>
                <w:sz w:val="18"/>
                <w:szCs w:val="18"/>
                <w:lang w:eastAsia="en-AU"/>
              </w:rPr>
            </w:pPr>
            <w:r w:rsidRPr="00C57640">
              <w:rPr>
                <w:rFonts w:asciiTheme="minorHAnsi" w:hAnsiTheme="minorHAnsi" w:cstheme="minorHAnsi"/>
                <w:b/>
                <w:color w:val="auto"/>
                <w:sz w:val="18"/>
                <w:szCs w:val="18"/>
                <w:lang w:eastAsia="en-AU"/>
              </w:rPr>
              <w:t>Conclusion</w:t>
            </w:r>
            <w:r>
              <w:rPr>
                <w:rFonts w:asciiTheme="minorHAnsi" w:hAnsiTheme="minorHAnsi" w:cstheme="minorHAnsi"/>
                <w:bCs/>
                <w:color w:val="auto"/>
                <w:sz w:val="18"/>
                <w:szCs w:val="18"/>
                <w:lang w:eastAsia="en-AU"/>
              </w:rPr>
              <w:t xml:space="preserve">: </w:t>
            </w:r>
            <w:r w:rsidR="0028439E" w:rsidRPr="00C94A70">
              <w:rPr>
                <w:rFonts w:asciiTheme="minorHAnsi" w:hAnsiTheme="minorHAnsi" w:cstheme="minorHAnsi"/>
                <w:bCs/>
                <w:color w:val="auto"/>
                <w:sz w:val="18"/>
                <w:szCs w:val="18"/>
                <w:lang w:eastAsia="en-AU"/>
              </w:rPr>
              <w:t>Non-significant findings for some antibiotics may reflect insufficient power; further study is needed to assess the correlation between resistance of sepsis-causing bacteria to fluoroquinolones, fourth-generation cephalosporins, piperacillin</w:t>
            </w:r>
            <w:r w:rsidR="00CB08A9">
              <w:rPr>
                <w:rFonts w:asciiTheme="minorHAnsi" w:hAnsiTheme="minorHAnsi" w:cstheme="minorHAnsi"/>
                <w:bCs/>
                <w:color w:val="auto"/>
                <w:sz w:val="18"/>
                <w:szCs w:val="18"/>
                <w:lang w:eastAsia="en-AU"/>
              </w:rPr>
              <w:t>-</w:t>
            </w:r>
            <w:r w:rsidR="0028439E" w:rsidRPr="00C94A70">
              <w:rPr>
                <w:rFonts w:asciiTheme="minorHAnsi" w:hAnsiTheme="minorHAnsi" w:cstheme="minorHAnsi"/>
                <w:bCs/>
                <w:color w:val="auto"/>
                <w:sz w:val="18"/>
                <w:szCs w:val="18"/>
                <w:lang w:eastAsia="en-AU"/>
              </w:rPr>
              <w:t xml:space="preserve">tazobactam, and vancomycin. </w:t>
            </w:r>
          </w:p>
        </w:tc>
      </w:tr>
      <w:tr w:rsidR="001F0486" w:rsidRPr="00C94A70" w14:paraId="0122FF34" w14:textId="77777777" w:rsidTr="00036190">
        <w:tc>
          <w:tcPr>
            <w:cnfStyle w:val="001000000000" w:firstRow="0" w:lastRow="0" w:firstColumn="1" w:lastColumn="0" w:oddVBand="0" w:evenVBand="0" w:oddHBand="0" w:evenHBand="0" w:firstRowFirstColumn="0" w:firstRowLastColumn="0" w:lastRowFirstColumn="0" w:lastRowLastColumn="0"/>
            <w:tcW w:w="9628" w:type="dxa"/>
            <w:gridSpan w:val="2"/>
            <w:tcBorders>
              <w:top w:val="single" w:sz="4" w:space="0" w:color="9CC2E5"/>
              <w:bottom w:val="single" w:sz="4" w:space="0" w:color="5B9BD5" w:themeColor="accent5"/>
            </w:tcBorders>
          </w:tcPr>
          <w:p w14:paraId="14F2D654" w14:textId="62A3B9E4" w:rsidR="001F0486" w:rsidRPr="00C94A70" w:rsidRDefault="00067495" w:rsidP="00903364">
            <w:pPr>
              <w:tabs>
                <w:tab w:val="left" w:pos="6999"/>
              </w:tabs>
              <w:spacing w:after="0" w:line="240" w:lineRule="auto"/>
              <w:jc w:val="both"/>
              <w:rPr>
                <w:rFonts w:asciiTheme="minorHAnsi" w:hAnsiTheme="minorHAnsi" w:cstheme="minorHAnsi"/>
                <w:b w:val="0"/>
                <w:color w:val="auto"/>
                <w:sz w:val="18"/>
                <w:szCs w:val="18"/>
                <w:lang w:eastAsia="en-AU"/>
              </w:rPr>
            </w:pPr>
            <w:r w:rsidRPr="00C94A70">
              <w:rPr>
                <w:rFonts w:asciiTheme="minorHAnsi" w:hAnsiTheme="minorHAnsi" w:cstheme="minorHAnsi"/>
                <w:bCs w:val="0"/>
                <w:color w:val="auto"/>
                <w:sz w:val="18"/>
                <w:szCs w:val="18"/>
                <w:lang w:eastAsia="en-AU"/>
              </w:rPr>
              <w:t>How to Cite</w:t>
            </w:r>
            <w:r w:rsidR="00AC564C" w:rsidRPr="00C94A70">
              <w:rPr>
                <w:rFonts w:asciiTheme="minorHAnsi" w:hAnsiTheme="minorHAnsi" w:cstheme="minorHAnsi"/>
                <w:bCs w:val="0"/>
                <w:color w:val="auto"/>
                <w:sz w:val="18"/>
                <w:szCs w:val="18"/>
                <w:lang w:eastAsia="en-AU"/>
              </w:rPr>
              <w:t>:</w:t>
            </w:r>
            <w:r w:rsidR="0089462D" w:rsidRPr="00C94A70">
              <w:rPr>
                <w:rFonts w:asciiTheme="minorHAnsi" w:hAnsiTheme="minorHAnsi" w:cstheme="minorHAnsi"/>
                <w:bCs w:val="0"/>
                <w:color w:val="auto"/>
                <w:sz w:val="18"/>
                <w:szCs w:val="18"/>
                <w:lang w:eastAsia="en-AU"/>
              </w:rPr>
              <w:t xml:space="preserve"> </w:t>
            </w:r>
            <w:r w:rsidR="0089462D" w:rsidRPr="00C94A70">
              <w:rPr>
                <w:rFonts w:asciiTheme="minorHAnsi" w:hAnsiTheme="minorHAnsi" w:cstheme="minorHAnsi"/>
                <w:b w:val="0"/>
                <w:color w:val="auto"/>
                <w:sz w:val="18"/>
                <w:szCs w:val="18"/>
                <w:lang w:eastAsia="en-AU"/>
              </w:rPr>
              <w:t>(</w:t>
            </w:r>
            <w:r w:rsidR="0089462D" w:rsidRPr="00C94A70">
              <w:rPr>
                <w:rFonts w:asciiTheme="minorHAnsi" w:hAnsiTheme="minorHAnsi" w:cstheme="minorHAnsi"/>
                <w:b w:val="0"/>
                <w:i/>
                <w:iCs/>
                <w:color w:val="auto"/>
                <w:sz w:val="18"/>
                <w:szCs w:val="18"/>
                <w:lang w:eastAsia="en-AU"/>
              </w:rPr>
              <w:t>citation style</w:t>
            </w:r>
            <w:r w:rsidR="0089462D" w:rsidRPr="00C94A70">
              <w:rPr>
                <w:rFonts w:asciiTheme="minorHAnsi" w:hAnsiTheme="minorHAnsi" w:cstheme="minorHAnsi"/>
                <w:b w:val="0"/>
                <w:color w:val="auto"/>
                <w:sz w:val="18"/>
                <w:szCs w:val="18"/>
                <w:lang w:eastAsia="en-AU"/>
              </w:rPr>
              <w:t xml:space="preserve"> AMA 11</w:t>
            </w:r>
            <w:r w:rsidR="0089462D" w:rsidRPr="00C94A70">
              <w:rPr>
                <w:rFonts w:asciiTheme="minorHAnsi" w:hAnsiTheme="minorHAnsi" w:cstheme="minorHAnsi"/>
                <w:b w:val="0"/>
                <w:color w:val="auto"/>
                <w:sz w:val="18"/>
                <w:szCs w:val="18"/>
                <w:vertAlign w:val="superscript"/>
                <w:lang w:eastAsia="en-AU"/>
              </w:rPr>
              <w:t>th</w:t>
            </w:r>
            <w:r w:rsidR="0089462D" w:rsidRPr="00C94A70">
              <w:rPr>
                <w:rFonts w:asciiTheme="minorHAnsi" w:hAnsiTheme="minorHAnsi" w:cstheme="minorHAnsi"/>
                <w:b w:val="0"/>
                <w:color w:val="auto"/>
                <w:sz w:val="18"/>
                <w:szCs w:val="18"/>
                <w:lang w:eastAsia="en-AU"/>
              </w:rPr>
              <w:t xml:space="preserve"> Ed.)</w:t>
            </w:r>
          </w:p>
          <w:p w14:paraId="660FA467" w14:textId="37178AF4" w:rsidR="00FC1594" w:rsidRPr="00C94A70" w:rsidRDefault="005C7578" w:rsidP="00903364">
            <w:pPr>
              <w:tabs>
                <w:tab w:val="left" w:pos="6999"/>
              </w:tabs>
              <w:spacing w:after="0" w:line="240" w:lineRule="auto"/>
              <w:jc w:val="both"/>
              <w:rPr>
                <w:rFonts w:asciiTheme="minorHAnsi" w:hAnsiTheme="minorHAnsi" w:cstheme="minorHAnsi"/>
                <w:b w:val="0"/>
                <w:bCs w:val="0"/>
                <w:color w:val="auto"/>
                <w:sz w:val="18"/>
                <w:szCs w:val="18"/>
                <w:lang w:eastAsia="en-AU"/>
              </w:rPr>
            </w:pPr>
            <w:proofErr w:type="spellStart"/>
            <w:r w:rsidRPr="005C7578">
              <w:rPr>
                <w:rFonts w:asciiTheme="minorHAnsi" w:hAnsiTheme="minorHAnsi" w:cstheme="minorHAnsi"/>
                <w:b w:val="0"/>
                <w:bCs w:val="0"/>
                <w:color w:val="auto"/>
                <w:sz w:val="18"/>
                <w:szCs w:val="18"/>
                <w:lang w:eastAsia="en-AU"/>
              </w:rPr>
              <w:t>Meriyani</w:t>
            </w:r>
            <w:proofErr w:type="spellEnd"/>
            <w:r>
              <w:rPr>
                <w:rFonts w:asciiTheme="minorHAnsi" w:hAnsiTheme="minorHAnsi" w:cstheme="minorHAnsi"/>
                <w:b w:val="0"/>
                <w:bCs w:val="0"/>
                <w:color w:val="auto"/>
                <w:sz w:val="18"/>
                <w:szCs w:val="18"/>
                <w:lang w:eastAsia="en-AU"/>
              </w:rPr>
              <w:t xml:space="preserve"> H</w:t>
            </w:r>
            <w:r w:rsidRPr="005C7578">
              <w:rPr>
                <w:rFonts w:asciiTheme="minorHAnsi" w:hAnsiTheme="minorHAnsi" w:cstheme="minorHAnsi"/>
                <w:b w:val="0"/>
                <w:bCs w:val="0"/>
                <w:color w:val="auto"/>
                <w:sz w:val="18"/>
                <w:szCs w:val="18"/>
                <w:lang w:eastAsia="en-AU"/>
              </w:rPr>
              <w:t>, Sanjaya</w:t>
            </w:r>
            <w:r>
              <w:rPr>
                <w:rFonts w:asciiTheme="minorHAnsi" w:hAnsiTheme="minorHAnsi" w:cstheme="minorHAnsi"/>
                <w:b w:val="0"/>
                <w:bCs w:val="0"/>
                <w:color w:val="auto"/>
                <w:sz w:val="18"/>
                <w:szCs w:val="18"/>
                <w:lang w:eastAsia="en-AU"/>
              </w:rPr>
              <w:t xml:space="preserve"> DA</w:t>
            </w:r>
            <w:r w:rsidRPr="005C7578">
              <w:rPr>
                <w:rFonts w:asciiTheme="minorHAnsi" w:hAnsiTheme="minorHAnsi" w:cstheme="minorHAnsi"/>
                <w:b w:val="0"/>
                <w:bCs w:val="0"/>
                <w:color w:val="auto"/>
                <w:sz w:val="18"/>
                <w:szCs w:val="18"/>
                <w:lang w:eastAsia="en-AU"/>
              </w:rPr>
              <w:t>, Juanita</w:t>
            </w:r>
            <w:r>
              <w:rPr>
                <w:rFonts w:asciiTheme="minorHAnsi" w:hAnsiTheme="minorHAnsi" w:cstheme="minorHAnsi"/>
                <w:b w:val="0"/>
                <w:bCs w:val="0"/>
                <w:color w:val="auto"/>
                <w:sz w:val="18"/>
                <w:szCs w:val="18"/>
                <w:lang w:eastAsia="en-AU"/>
              </w:rPr>
              <w:t xml:space="preserve"> RA</w:t>
            </w:r>
            <w:r w:rsidRPr="005C7578">
              <w:rPr>
                <w:rFonts w:asciiTheme="minorHAnsi" w:hAnsiTheme="minorHAnsi" w:cstheme="minorHAnsi"/>
                <w:b w:val="0"/>
                <w:bCs w:val="0"/>
                <w:color w:val="auto"/>
                <w:sz w:val="18"/>
                <w:szCs w:val="18"/>
                <w:lang w:eastAsia="en-AU"/>
              </w:rPr>
              <w:t xml:space="preserve">, </w:t>
            </w:r>
            <w:proofErr w:type="spellStart"/>
            <w:r w:rsidRPr="005C7578">
              <w:rPr>
                <w:rFonts w:asciiTheme="minorHAnsi" w:hAnsiTheme="minorHAnsi" w:cstheme="minorHAnsi"/>
                <w:b w:val="0"/>
                <w:bCs w:val="0"/>
                <w:color w:val="auto"/>
                <w:sz w:val="18"/>
                <w:szCs w:val="18"/>
                <w:lang w:eastAsia="en-AU"/>
              </w:rPr>
              <w:t>Siada</w:t>
            </w:r>
            <w:proofErr w:type="spellEnd"/>
            <w:r>
              <w:rPr>
                <w:rFonts w:asciiTheme="minorHAnsi" w:hAnsiTheme="minorHAnsi" w:cstheme="minorHAnsi"/>
                <w:b w:val="0"/>
                <w:bCs w:val="0"/>
                <w:color w:val="auto"/>
                <w:sz w:val="18"/>
                <w:szCs w:val="18"/>
                <w:lang w:eastAsia="en-AU"/>
              </w:rPr>
              <w:t xml:space="preserve"> NB</w:t>
            </w:r>
            <w:r w:rsidRPr="005C7578">
              <w:rPr>
                <w:rFonts w:asciiTheme="minorHAnsi" w:hAnsiTheme="minorHAnsi" w:cstheme="minorHAnsi"/>
                <w:b w:val="0"/>
                <w:bCs w:val="0"/>
                <w:color w:val="auto"/>
                <w:sz w:val="18"/>
                <w:szCs w:val="18"/>
                <w:lang w:eastAsia="en-AU"/>
              </w:rPr>
              <w:t xml:space="preserve">, </w:t>
            </w:r>
            <w:proofErr w:type="spellStart"/>
            <w:r w:rsidRPr="005C7578">
              <w:rPr>
                <w:rFonts w:asciiTheme="minorHAnsi" w:hAnsiTheme="minorHAnsi" w:cstheme="minorHAnsi"/>
                <w:b w:val="0"/>
                <w:bCs w:val="0"/>
                <w:color w:val="auto"/>
                <w:sz w:val="18"/>
                <w:szCs w:val="18"/>
                <w:lang w:eastAsia="en-AU"/>
              </w:rPr>
              <w:t>Yudiartha</w:t>
            </w:r>
            <w:proofErr w:type="spellEnd"/>
            <w:r>
              <w:rPr>
                <w:rFonts w:asciiTheme="minorHAnsi" w:hAnsiTheme="minorHAnsi" w:cstheme="minorHAnsi"/>
                <w:b w:val="0"/>
                <w:bCs w:val="0"/>
                <w:color w:val="auto"/>
                <w:sz w:val="18"/>
                <w:szCs w:val="18"/>
                <w:lang w:eastAsia="en-AU"/>
              </w:rPr>
              <w:t xml:space="preserve"> IWM</w:t>
            </w:r>
            <w:r w:rsidRPr="005C7578">
              <w:rPr>
                <w:rFonts w:asciiTheme="minorHAnsi" w:hAnsiTheme="minorHAnsi" w:cstheme="minorHAnsi"/>
                <w:b w:val="0"/>
                <w:bCs w:val="0"/>
                <w:color w:val="auto"/>
                <w:sz w:val="18"/>
                <w:szCs w:val="18"/>
                <w:lang w:eastAsia="en-AU"/>
              </w:rPr>
              <w:t>, Suryawan</w:t>
            </w:r>
            <w:r>
              <w:rPr>
                <w:rFonts w:asciiTheme="minorHAnsi" w:hAnsiTheme="minorHAnsi" w:cstheme="minorHAnsi"/>
                <w:b w:val="0"/>
                <w:bCs w:val="0"/>
                <w:color w:val="auto"/>
                <w:sz w:val="18"/>
                <w:szCs w:val="18"/>
                <w:lang w:eastAsia="en-AU"/>
              </w:rPr>
              <w:t xml:space="preserve"> K. </w:t>
            </w:r>
            <w:r w:rsidRPr="005C7578">
              <w:rPr>
                <w:rFonts w:asciiTheme="minorHAnsi" w:hAnsiTheme="minorHAnsi" w:cstheme="minorHAnsi"/>
                <w:b w:val="0"/>
                <w:bCs w:val="0"/>
                <w:color w:val="auto"/>
                <w:sz w:val="18"/>
                <w:szCs w:val="18"/>
                <w:lang w:eastAsia="en-AU"/>
              </w:rPr>
              <w:t>The Association between Resistance of Sepsis-Inducing Bacteria to First-Line Antibiotics and Sepsis Outcome: A Retrospective Cross-Sectional Study</w:t>
            </w:r>
            <w:r>
              <w:rPr>
                <w:rFonts w:asciiTheme="minorHAnsi" w:hAnsiTheme="minorHAnsi" w:cstheme="minorHAnsi"/>
                <w:b w:val="0"/>
                <w:bCs w:val="0"/>
                <w:color w:val="auto"/>
                <w:sz w:val="18"/>
                <w:szCs w:val="18"/>
                <w:lang w:eastAsia="en-AU"/>
              </w:rPr>
              <w:t>.</w:t>
            </w:r>
            <w:r w:rsidR="00090658" w:rsidRPr="00C94A70">
              <w:rPr>
                <w:rFonts w:asciiTheme="minorHAnsi" w:hAnsiTheme="minorHAnsi" w:cstheme="minorHAnsi"/>
                <w:b w:val="0"/>
                <w:bCs w:val="0"/>
                <w:color w:val="auto"/>
                <w:sz w:val="18"/>
                <w:szCs w:val="18"/>
                <w:lang w:eastAsia="en-AU"/>
              </w:rPr>
              <w:t xml:space="preserve"> </w:t>
            </w:r>
            <w:r w:rsidR="00090658" w:rsidRPr="00C94A70">
              <w:rPr>
                <w:rFonts w:asciiTheme="minorHAnsi" w:hAnsiTheme="minorHAnsi" w:cstheme="minorHAnsi"/>
                <w:b w:val="0"/>
                <w:bCs w:val="0"/>
                <w:i/>
                <w:iCs/>
                <w:color w:val="auto"/>
                <w:sz w:val="18"/>
                <w:szCs w:val="18"/>
                <w:lang w:eastAsia="en-AU"/>
              </w:rPr>
              <w:t xml:space="preserve">J. Ilm. </w:t>
            </w:r>
            <w:proofErr w:type="spellStart"/>
            <w:r w:rsidR="00090658" w:rsidRPr="00C94A70">
              <w:rPr>
                <w:rFonts w:asciiTheme="minorHAnsi" w:hAnsiTheme="minorHAnsi" w:cstheme="minorHAnsi"/>
                <w:b w:val="0"/>
                <w:bCs w:val="0"/>
                <w:i/>
                <w:iCs/>
                <w:color w:val="auto"/>
                <w:sz w:val="18"/>
                <w:szCs w:val="18"/>
                <w:lang w:eastAsia="en-AU"/>
              </w:rPr>
              <w:t>Medicam</w:t>
            </w:r>
            <w:proofErr w:type="spellEnd"/>
            <w:r w:rsidR="00090658" w:rsidRPr="00C94A70">
              <w:rPr>
                <w:rFonts w:asciiTheme="minorHAnsi" w:hAnsiTheme="minorHAnsi" w:cstheme="minorHAnsi"/>
                <w:b w:val="0"/>
                <w:bCs w:val="0"/>
                <w:i/>
                <w:iCs/>
                <w:color w:val="auto"/>
                <w:sz w:val="18"/>
                <w:szCs w:val="18"/>
                <w:lang w:eastAsia="en-AU"/>
              </w:rPr>
              <w:t>.</w:t>
            </w:r>
            <w:r w:rsidR="00090658" w:rsidRPr="00C94A70">
              <w:rPr>
                <w:rFonts w:asciiTheme="minorHAnsi" w:hAnsiTheme="minorHAnsi" w:cstheme="minorHAnsi"/>
                <w:b w:val="0"/>
                <w:bCs w:val="0"/>
                <w:color w:val="auto"/>
                <w:sz w:val="18"/>
                <w:szCs w:val="18"/>
                <w:lang w:eastAsia="en-AU"/>
              </w:rPr>
              <w:t xml:space="preserve">, </w:t>
            </w:r>
            <w:r>
              <w:rPr>
                <w:rFonts w:asciiTheme="minorHAnsi" w:hAnsiTheme="minorHAnsi" w:cstheme="minorHAnsi"/>
                <w:b w:val="0"/>
                <w:bCs w:val="0"/>
                <w:color w:val="auto"/>
                <w:sz w:val="18"/>
                <w:szCs w:val="18"/>
                <w:lang w:eastAsia="en-AU"/>
              </w:rPr>
              <w:t>2026;12(1): 71-80</w:t>
            </w:r>
            <w:r w:rsidR="00090658" w:rsidRPr="00C94A70">
              <w:rPr>
                <w:rFonts w:asciiTheme="minorHAnsi" w:hAnsiTheme="minorHAnsi" w:cstheme="minorHAnsi"/>
                <w:b w:val="0"/>
                <w:bCs w:val="0"/>
                <w:color w:val="auto"/>
                <w:sz w:val="18"/>
                <w:szCs w:val="18"/>
                <w:lang w:eastAsia="en-AU"/>
              </w:rPr>
              <w:t>.</w:t>
            </w:r>
            <w:r>
              <w:rPr>
                <w:rFonts w:asciiTheme="minorHAnsi" w:hAnsiTheme="minorHAnsi" w:cstheme="minorHAnsi"/>
                <w:b w:val="0"/>
                <w:bCs w:val="0"/>
                <w:color w:val="auto"/>
                <w:sz w:val="18"/>
                <w:szCs w:val="18"/>
                <w:lang w:eastAsia="en-AU"/>
              </w:rPr>
              <w:t xml:space="preserve"> </w:t>
            </w:r>
            <w:hyperlink r:id="rId13" w:history="1">
              <w:r w:rsidRPr="005C7578">
                <w:rPr>
                  <w:rStyle w:val="Hyperlink"/>
                  <w:rFonts w:asciiTheme="minorHAnsi" w:hAnsiTheme="minorHAnsi" w:cstheme="minorHAnsi"/>
                  <w:b w:val="0"/>
                  <w:bCs w:val="0"/>
                  <w:sz w:val="18"/>
                  <w:szCs w:val="18"/>
                </w:rPr>
                <w:t>https://doi.org/10.36733/medicamento.v12i1.13597</w:t>
              </w:r>
            </w:hyperlink>
          </w:p>
        </w:tc>
      </w:tr>
    </w:tbl>
    <w:p w14:paraId="045798DC" w14:textId="77777777" w:rsidR="00903364" w:rsidRPr="00C94A70" w:rsidRDefault="00903364" w:rsidP="00903364">
      <w:pPr>
        <w:spacing w:after="0" w:line="240" w:lineRule="auto"/>
        <w:rPr>
          <w:rFonts w:asciiTheme="minorHAnsi" w:hAnsiTheme="minorHAnsi" w:cstheme="minorHAnsi"/>
          <w:b/>
          <w:color w:val="2E74B5" w:themeColor="accent5" w:themeShade="BF"/>
          <w:spacing w:val="20"/>
          <w:sz w:val="24"/>
          <w:szCs w:val="24"/>
        </w:rPr>
        <w:sectPr w:rsidR="00903364" w:rsidRPr="00C94A70" w:rsidSect="00DC0A7A">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134" w:right="1134" w:bottom="1134" w:left="1134" w:header="288" w:footer="0" w:gutter="0"/>
          <w:pgNumType w:start="71"/>
          <w:cols w:space="282"/>
          <w:titlePg/>
          <w:docGrid w:linePitch="360"/>
        </w:sectPr>
      </w:pPr>
    </w:p>
    <w:p w14:paraId="04D0A1A8" w14:textId="35F53B5D" w:rsidR="006C664D" w:rsidRPr="00C94A70" w:rsidRDefault="0030079F" w:rsidP="00903364">
      <w:pPr>
        <w:spacing w:after="0"/>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t>INTRODUCTION</w:t>
      </w:r>
      <w:r w:rsidR="00736505" w:rsidRPr="00C94A70">
        <w:rPr>
          <w:rFonts w:asciiTheme="minorHAnsi" w:hAnsiTheme="minorHAnsi" w:cstheme="minorHAnsi"/>
          <w:b/>
          <w:color w:val="2E74B5" w:themeColor="accent5" w:themeShade="BF"/>
          <w:spacing w:val="20"/>
          <w:sz w:val="24"/>
          <w:szCs w:val="24"/>
        </w:rPr>
        <w:t xml:space="preserve"> </w:t>
      </w:r>
    </w:p>
    <w:p w14:paraId="27BDA041" w14:textId="680F2D69" w:rsidR="00E03F0F" w:rsidRPr="00C94A70" w:rsidRDefault="00E03F0F" w:rsidP="00903364">
      <w:pPr>
        <w:spacing w:after="0"/>
        <w:ind w:firstLine="720"/>
        <w:jc w:val="both"/>
        <w:rPr>
          <w:rFonts w:asciiTheme="minorHAnsi" w:hAnsiTheme="minorHAnsi" w:cstheme="minorHAnsi"/>
          <w:sz w:val="20"/>
          <w:szCs w:val="20"/>
          <w:lang w:val="en-ID" w:eastAsia="zh-TW"/>
        </w:rPr>
      </w:pPr>
      <w:r w:rsidRPr="00C94A70">
        <w:rPr>
          <w:rFonts w:asciiTheme="minorHAnsi" w:hAnsiTheme="minorHAnsi" w:cstheme="minorHAnsi"/>
          <w:sz w:val="20"/>
          <w:szCs w:val="20"/>
          <w:lang w:val="en-ID"/>
        </w:rPr>
        <w:t>Sepsis is a life-threatening clinical syndrome characterised by dysregulated host responses to infection, leading to organ dysfunction and high mortality. Globally, sepsis remains a major public health challenge, with an estimated 48.9 million cases and 11 million deaths in 2017, representing nearly 20% of all global deaths</w:t>
      </w:r>
      <w:r w:rsidR="00D51450"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{"citationItems":[{"id":"ITEM-1","itemData":{"DOI":"10.22487/htj.v11i3.1740","ISSN":"2407-8441","abstract":"Background: Sepsis, a severe immune response to infection, has a concerning global mortality rate of 85%, predominantly due to Gram-negative bacteria. The rise of antibiotic resistance in these organisms complicates treatment, leading to higher mortality and prolonged hospital stays. Effective empirical antibiotics can mitigate these outcomes. Objective: This study compares outcomes of sepsis patients infected with multidrug-resistant organisms (MDRO) based on empirical antibiotic sensitivity testing, focusing on mortality and length of stay (LOS) within 14 days of sepsis onset. Methods: A prospective cohort observational study at Dr. M. Djamil General Hospital included 94 participants. Patients who died within 14 days were excluded from the LOS analysis to prevent bias. Initial assessments included culture sampling and organ dysfunction. Results: The study revealed no significant difference in mortality based on antibiotic sensitivity (p=0.283), but the LOS was significantly shorter in those treated with sensitive antibiotics (p&lt;0.016). Conclusion: LOS was significantly affected by antibiotic sensitivity, with patients receiving effective antibiotics experiencing shorter stays, though mortality differences were not statistically significant in the 14-day window","author":[{"dropping-particle":"","family":"Fadrian","given":"Fadrian","non-dropping-particle":"","parse-names":false,"suffix":""},{"dropping-particle":"","family":"Ahmad","given":"Armen","non-dropping-particle":"","parse-names":false,"suffix":""},{"dropping-particle":"","family":"Harvindra","given":"Astrid","non-dropping-particle":"","parse-names":false,"suffix":""},{"dropping-particle":"","family":"Putri","given":"Vidola Yasena","non-dropping-particle":"","parse-names":false,"suffix":""}],"container-title":"Healthy Tadulako Journal (Jurnal Kesehatan Tadulako)","id":"ITEM-1","issue":"3","issued":{"date-parts":[["2025"]]},"page":"462-479","title":"Different Sepsis Patient Outcomes Due to Multidrug-Resistant Organisms (MDRO): A Study of Empirical Antibiotic Sensitivity Test Results","type":"article-journal","volume":"11"},"uris":["http://www.mendeley.com/documents/?uuid=493f2b9e-3685-4e3f-9542-7aa068f71af6","http://www.mendeley.com/documents/?uuid=a5ff0adc-77c2-4c40-8f00-3c7e529b6a6d"]},{"id":"ITEM-2","itemData":{"DOI":"10.1016/S0140-6736(19)32989-7","ISSN":"1474547X","PMID":"31954465","abstract":"Background: Sepsis is life-threatening organ dysfunction due to a dysregulated host response to infection. It is considered a major cause of health loss, but data for the global burden of sepsis are limited. As a syndrome caused by underlying infection, sepsis is not part of standard Global Burden of Diseases, Injuries, and Risk Factors Study (GBD) estimates. Accurate estimates are important to inform and monitor health policy interventions, allocation of resources, and clinical treatment initiatives. We estimated the global, regional, and national incidence of sepsis and mortality from this disorder using data from GBD 2017. Methods: We used multiple cause-of-death data from 109 million individual death records to calculate mortality related to sepsis among each of the 282 underlying causes of death in GBD 2017. The percentage of sepsis-related deaths by underlying GBD cause in each location worldwide was modelled using mixed-effects linear regression. Sepsis-related mortality for each age group, sex, location, GBD cause, and year (1990–2017) was estimated by applying modelled cause-specific fractions to GBD 2017 cause-of-death estimates. We used data for 8·7 million individual hospital records to calculate in-hospital sepsis-associated case-fatality, stratified by underlying GBD cause. In-hospital sepsis-associated case-fatality was modelled for each location using linear regression, and sepsis incidence was estimated by applying modelled case-fatality to sepsis-related mortality estimates. Findings: In 2017, an estimated 48·9 million (95% uncertainty interval [UI] 38·9–62·9) incident cases of sepsis were recorded worldwide and 11·0 million (10·1–12·0) sepsis-related deaths were reported, representing 19·7% (18·2–21·4) of all global deaths. Age-standardised sepsis incidence fell by 37·0% (95% UI 11·8–54·5) and mortality decreased by 52·8% (47·7–57·5) from 1990 to 2017. Sepsis incidence and mortality varied substantially across regions, with the highest burden in sub-Saharan Africa, Oceania, south Asia, east Asia, and southeast Asia. Interpretation: Despite declining age-standardised incidence and mortality, sepsis remains a major cause of health loss worldwide and has an especially high health-related burden in sub-Saharan Africa. Funding: The Bill &amp; Melinda Gates Foundation, the National Institutes of Health, the University of Pittsburgh, the British Columbia Children's Hospital Foundation, the Wellcome Trust, and the Fleming Fund.","author":[{"dropping-particle":"","family":"Rudd","given":"Kristina E.","non-dropping-particle":"","parse-names":false,"suffix":""},{"dropping-particle":"","family":"Johnson","given":"Sarah Charlotte","non-dropping-particle":"","parse-names":false,"suffix":""},{"dropping-particle":"","family":"Agesa","given":"Kareha M.","non-dropping-particle":"","parse-names":false,"suffix":""},{"dropping-particle":"","family":"Shackelford","given":"Katya Anne","non-dropping-particle":"","parse-names":false,"suffix":""},{"dropping-particle":"","family":"Tsoi","given":"Derrick","non-dropping-particle":"","parse-names":false,"suffix":""},{"dropping-particle":"","family":"Kievlan","given":"Daniel Rhodes","non-dropping-particle":"","parse-names":false,"suffix":""},{"dropping-particle":"V.","family":"Colombara","given":"Danny","non-dropping-particle":"","parse-names":false,"suffix":""},{"dropping-particle":"","family":"Ikuta","given":"Kevin S.","non-dropping-particle":"","parse-names":false,"suffix":""},{"dropping-particle":"","family":"Kissoon","given":"Niranjan","non-dropping-particle":"","parse-names":false,"suffix":""},{"dropping-particle":"","family":"Finfer","given":"Simon","non-dropping-particle":"","parse-names":false,"suffix":""},{"dropping-particle":"","family":"Fleischmann-Struzek","given":"Carolin","non-dropping-particle":"","parse-names":false,"suffix":""},{"dropping-particle":"","family":"Machado","given":"Flavia R.","non-dropping-particle":"","parse-names":false,"suffix":""},{"dropping-particle":"","family":"Reinhart","given":"Konrad K.","non-dropping-particle":"","parse-names":false,"suffix":""},{"dropping-particle":"","family":"Rowan","given":"Kathryn","non-dropping-particle":"","parse-names":false,"suffix":""},{"dropping-particle":"","family":"Seymour","given":"Christopher W.","non-dropping-particle":"","parse-names":false,"suffix":""},{"dropping-particle":"","family":"Watson","given":"R. Scott","non-dropping-particle":"","parse-names":false,"suffix":""},{"dropping-particle":"","family":"West","given":"T. Eoin","non-dropping-particle":"","parse-names":false,"suffix":""},{"dropping-particle":"","family":"Marinho","given":"Fatima","non-dropping-particle":"","parse-names":false,"suffix":""},{"dropping-particle":"","family":"Hay","given":"Simon I.","non-dropping-particle":"","parse-names":false,"suffix":""},{"dropping-particle":"","family":"Lozano","given":"Rafael","non-dropping-particle":"","parse-names":false,"suffix":""},{"dropping-particle":"","family":"Lopez","given":"Alan D.","non-dropping-particle":"","parse-names":false,"suffix":""},{"dropping-particle":"","family":"Angus","given":"Derek C.","non-dropping-particle":"","parse-names":false,"suffix":""},{"dropping-particle":"","family":"Murray","given":"Christopher J.L.","non-dropping-particle":"","parse-names":false,"suffix":""},{"dropping-particle":"","family":"Naghavi","given":"Mohsen","non-dropping-particle":"","parse-names":false,"suffix":""}],"container-title":"The Lancet","id":"ITEM-2","issue":"10219","issued":{"date-parts":[["2020"]]},"page":"200-211","publisher":"The Author(s). Published by Elsevier Ltd. This is an Open Access Article under the CC BY 4.0 licence","title":"Global, regional, and national sepsis incidence and mortality, 1990–2017: analysis for the Global Burden of Disease Study","type":"article-journal","volume":"395"},"uris":["http://www.mendeley.com/documents/?uuid=46608eb4-23cf-4cf2-b0dc-c622b715d3a5","http://www.mendeley.com/documents/?uuid=df5e73a3-fb94-43a8-97b9-92d3f1995f97"]}],"mendeley":{"formattedCitation":"&lt;sup&gt;1,2&lt;/sup&gt;","plainTextFormattedCitation":"1,2","previouslyFormattedCitation":"&lt;sup&gt;1,2&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1,2</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According to the Global Burden of Disease study, sepsis-related disease increased in 2021 to 166 million sepsis cases and 21.4 million sepsis-related deaths</w:t>
      </w:r>
      <w:r w:rsidR="00D51450"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{"citationItems":[{"id":"ITEM-1","itemData":{"DOI":"10.1016/S2214-109X(25)00356-0","ISSN":"2214109X","PMID":"41135560","abstract":"BACKGROUND: The global burden of sepsis, a life-threatening dysregulated host response to infection leading to organ dysfunction, remains challenging to quantify. We aimed to comprehensively estimate the global, regional, and national burden of sepsis, including the impact of the COVID-19 pandemic and underlying causes of sepsis-related deaths with co-occurring infectious syndromes. METHODS: We used multiple cause-of-death, hospital, minimally invasive tissue sampling, and linked death certificate and hospital record data representing 149 million deaths, covering 4290 location-years with mortality estimates from the Global Burden of Diseases, Injuries, and Risk Factors Study (GBD) 2021 to capture explicit and implicit sepsis cases and deaths. We estimated age-location-sex-specific fractions of sepsis-related deaths from 195 underlying causes of death and 22 infectious syndromes from 1990 to 2021 using binomial logistic regression models, and estimated sepsis-related deaths using GBD cause-specific mortality estimates. Using 250 million hospital admissions and 7·82 million deaths from hospital data, representing 1310 location-years, we modelled case fatality rates by use of binomial logistic regression, applied to sepsis death estimates to estimate sepsis incidence by age, location, and year. FINDINGS: In 2021, we estimated 166 million (95% uncertainty interval 135-201) sepsis cases and 21·4 million (20·3-22·5) all-cause sepsis-related deaths globally, representing 31·5% of total global deaths. Sepsis-related deaths decreased between 1990 and 2019, followed by a surge in 2020 and 2021. As of 2021, individuals aged 15 years and older experienced increases across incidence (230%) and mortality (26·3%) since 1990. Those aged 70 years and older had the highest sepsis-related mortality in 2021 (9·28 million [8·74-9·86] deaths). Sepsis-related deaths from infectious underlying causes decreased from 11·8 million (11·1-12·5) in 1990 to 8·34 million (7·72-9·01) in 2019, then increased by 86·4% to 15·5 million (14·7-16·4) in 2021. Sepsis-related mortality due to non-infectious underlying causes of death increased from 4·69 million (4·35-5·05) in 1990 to 5·81 million (5·40-6·25) in 2021; the leading non-infectious underlying causes of death with sepsis were stroke, chronic obstructive pulmonary disease, and cirrhosis. In 2021, bloodstream infections inclusive of HIV and malaria (3·08 million [2·83-3·35]) and lower respiratory infections inclusive of COVID-19 (11·33…","author":[{"dropping-particle":"","family":"Collaborators","given":"Global Sepsis","non-dropping-particle":"","parse-names":false,"suffix":""}],"container-title":"The Lancet. Global health","id":"ITEM-1","issue":"12","issued":{"date-parts":[["2025"]]},"page":"e2013-e2026","title":"Global, regional, and national sepsis incidence and mortality, 1990-2021: a systematic analysis","type":"article-journal","volume":"13"},"uris":["http://www.mendeley.com/documents/?uuid=dc92b2b4-1af5-4580-8ded-7fad8204b995","http://www.mendeley.com/documents/?uuid=d6b146e8-db07-4725-aac0-b35add13d51e"]}],"mendeley":{"formattedCitation":"&lt;sup&gt;3&lt;/sup&gt;","plainTextFormattedCitation":"3","previouslyFormattedCitation":"&lt;sup&gt;3&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3</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Despite advances in critical care, early recognition, and antimicrobial therapy, sepsis continues to impose substantial clinical and economic burdens on healthcare systems. Timely initiation of effective antimicrobial therapy is a cornerstone of sepsis management, as delays in appropriate treatment significantly increase the risk of progression to septic shock, multiorgan failure, and death</w:t>
      </w:r>
      <w:r w:rsidR="00D51450"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{"citationItems":[{"id":"ITEM-1","itemData":{"DOI":"10.3389/fmed.2025.1597047","ISSN":"2296858X","abstract":"Introduction: Sepsis, as a life-threatening organ dysfunction caused by a dysregulated host response to infection, remains a leading cause of mortality worldwide. The condition requires rapid treatment, and The Surviving Sepsis Campaign from 2021 recommend administration of antimicrobials within one hour for suspected septic shock or high likelihood of sepsis. Methods: We conducted a comprehensive review of the literature regarding timing of antimicrobial administration and its impact on sepsis outcome, to evaluate whether a 1 h target for initiating antibiotics is a reasonable goal. A literature search was conducted in the PubMed database, and we performed a narrative synthesis of the studies. Results: Of the 42 studies reviewed, 34 demonstrated a significant association between delayed time to first antibiotic and increased mortality rates. The majority of the studies found a significant increase in mortality with delays in antimicrobial initiation, particularly with hourly cutoffs. Discussion: Sepsis is a heterogeneous condition, complicating the establishment of universal guidelines. Approximately half of the studies identified a near-linear relationship between delayed antimicrobial treatment and increased mortality, emphasizing the benefit of administering antibiotics within 1 h. However, other studies did not observe this linear association, instead reporting significantly increased mortality only after 3–6 h. These findings may indicate that a 1 h goal may not be optimal for all patients. Conclusion: Based on the findings in this systematic review, the recommendations outlined in The Surviving Sepsis Campaign appear to be reasonable goals. For patients with febrile neutropenia, further research is necessary to determine the optimal timing for antimicrobial administration.","author":[{"dropping-particle":"","family":"Gretland","given":"Jenny","non-dropping-particle":"","parse-names":false,"suffix":""},{"dropping-particle":"","family":"Sjømæling","given":"Sigrun","non-dropping-particle":"","parse-names":false,"suffix":""},{"dropping-particle":"","family":"Mosevoll","given":"Knut Anders","non-dropping-particle":"","parse-names":false,"suffix":""},{"dropping-particle":"","family":"Reikvam","given":"Håkon","non-dropping-particle":"","parse-names":false,"suffix":""}],"container-title":"Frontiers in Medicine","id":"ITEM-1","issue":"September","issued":{"date-parts":[["2025"]]},"title":"Timing of antibiotic initiation in sepsis and neutropenic fever","type":"article-journal","volume":"12"},"uris":["http://www.mendeley.com/documents/?uuid=8ef0fe52-7a46-4229-b7d5-58e9cfaac382","http://www.mendeley.com/documents/?uuid=094691cc-3f2f-402a-b9c9-d89ec2c27bc9"]},{"id":"ITEM-2","itemData":{"DOI":"10.1186/s12879-025-10532-2","ISBN":"1287902510","ISSN":"14712334","PMID":"39875821","abstract":"Introduction: Early antibiotic administration is one of the core treatments of sepsis which associated with reduced mortality rate. However, the appropriate timing of antibiotics remains a controversial issue, especially in patients without septic shock. Here, we reported the outcomes of early antibiotic administration within one hour from the time of infection suspicion in a tertiary care hospital. Methods: We reviewed the medical records and sepsis protocols in Chulabhorn Hospital, Bangkok, Thailand, from January 2021 to December 2023 for patients presenting with sepsis. We had our own sepsis protocol which we used for early detection and treatment of sepsis patients. We compared the 28-day mortality, 90-day mortality, and the length of stay between patients with time-to-antibiotics (TTA) within one hour and patients with TTA more than one hour. Results: We recruited 1,506 patients into our study. The mean age is 68 years and 49.40% of patients is female. 90.97% of the patients have comorbidities. The most common comorbidities were cancer (68.66%), and hypertension (33.40%). The 28-day mortality rate and the 90-day mortality rate were significantly lower in the patients with TTA within one hour compared to those with TTA more than one hour (P = 0.009 and P = 0.042, respectively). Nonetheless, adjusted mortality rate was significantly lower in only 28-day mortality rate but not 90-day mortality rate. Subgroup analysis showed that the mortality rate was significantly lower in patients with ICD-10 diagnosis of infections (15.35% vs. 21.51%, P = 0.029), patients with cancer (17.29% vs. 24.11%, P = 0.016), and patients with solid cancer (20.86% vs. 28.18%, P = 0.036). However, subgroup analysis for the mortality rate at 90 days were not statistically significant. Conclusion: Antibiotic administration within one hour from the time of infection suspicion is associated with lower mortality rates at 28 days but not at 90 days after adjusted analysis. Cancer patients, especially patients with solid cancer, will benefit more with time-to-antibiotics less than one hour.","author":[{"dropping-particle":"","family":"Isaranuwatchai","given":"Suramath","non-dropping-particle":"","parse-names":false,"suffix":""},{"dropping-particle":"","family":"Buppanharun","given":"Jirawat","non-dropping-particle":"","parse-names":false,"suffix":""},{"dropping-particle":"","family":"Thongbun","given":"Thamonwan","non-dropping-particle":"","parse-names":false,"suffix":""},{"dropping-particle":"","family":"Thavornwattana","given":"Kaewklao","non-dropping-particle":"","parse-names":false,"suffix":""},{"dropping-particle":"","family":"Harnphadungkit","given":"Monprach","non-dropping-particle":"","parse-names":false,"suffix":""},{"dropping-particle":"","family":"Siripongboonsitti","given":"Taweegrit","non-dropping-particle":"","parse-names":false,"suffix":""}],"container-title":"BMC Infectious Diseases","id":"ITEM-2","issue":"1","issued":{"date-parts":[["2025"]]},"publisher":"BioMed Central","title":"Early antibiotics administration reduces mortality in sepsis patients in tertiary care hospital","type":"article-journal","volume":"25"},"uris":["http://www.mendeley.com/documents/?uuid=b59554a7-1575-4a18-ba50-9e2da97e5895","http://www.mendeley.com/documents/?uuid=838c18f9-b658-4dec-a7a2-9eef574019f7"]}],"mendeley":{"formattedCitation":"&lt;sup&gt;4,5&lt;/sup&gt;","plainTextFormattedCitation":"4,5","previouslyFormattedCitation":"&lt;sup&gt;4,5&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eastAsia="zh-TW"/>
        </w:rPr>
        <w:t>4,5</w:t>
      </w:r>
      <w:r w:rsidRPr="00C94A70">
        <w:rPr>
          <w:rFonts w:asciiTheme="minorHAnsi" w:hAnsiTheme="minorHAnsi" w:cstheme="minorHAnsi"/>
          <w:sz w:val="20"/>
          <w:szCs w:val="20"/>
          <w:lang w:val="en-ID"/>
        </w:rPr>
        <w:fldChar w:fldCharType="end"/>
      </w:r>
    </w:p>
    <w:p w14:paraId="30B9A7B8" w14:textId="6FB955DB" w:rsidR="00E03F0F" w:rsidRPr="00C94A70" w:rsidRDefault="00E03F0F" w:rsidP="00903364">
      <w:pPr>
        <w:spacing w:after="0"/>
        <w:ind w:firstLine="720"/>
        <w:jc w:val="both"/>
        <w:rPr>
          <w:rFonts w:asciiTheme="minorHAnsi" w:hAnsiTheme="minorHAnsi" w:cstheme="minorHAnsi"/>
          <w:sz w:val="20"/>
          <w:szCs w:val="20"/>
          <w:lang w:val="en-ID" w:eastAsia="zh-TW"/>
        </w:rPr>
      </w:pPr>
      <w:r w:rsidRPr="00C94A70">
        <w:rPr>
          <w:rFonts w:asciiTheme="minorHAnsi" w:hAnsiTheme="minorHAnsi" w:cstheme="minorHAnsi"/>
          <w:sz w:val="20"/>
          <w:szCs w:val="20"/>
          <w:lang w:val="en-ID" w:eastAsia="zh-TW"/>
        </w:rPr>
        <w:t xml:space="preserve">The effectiveness of empirical antibiotic therapy, particularly first-line regimens, is increasingly threatened by the global rise of antimicrobial resistance (AMR). AMR has been described as an escalating pandemic that complicates the management of bacterial infections, including sepsis, and contributes to prolonged hospitalisation and increased </w:t>
      </w:r>
      <w:r w:rsidRPr="00C94A70">
        <w:rPr>
          <w:rFonts w:asciiTheme="minorHAnsi" w:hAnsiTheme="minorHAnsi" w:cstheme="minorHAnsi"/>
          <w:sz w:val="20"/>
          <w:szCs w:val="20"/>
          <w:lang w:val="en-ID" w:eastAsia="zh-TW"/>
        </w:rPr>
        <w:lastRenderedPageBreak/>
        <w:t>mortality</w:t>
      </w:r>
      <w:r w:rsidR="00D51450" w:rsidRPr="00C94A70">
        <w:rPr>
          <w:rFonts w:asciiTheme="minorHAnsi" w:hAnsiTheme="minorHAnsi" w:cstheme="minorHAnsi"/>
          <w:sz w:val="20"/>
          <w:szCs w:val="20"/>
          <w:lang w:val="en-ID" w:eastAsia="zh-TW"/>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eastAsia="zh-TW"/>
        </w:rPr>
        <w:instrText>ADDIN CSL_CITATION {"citationItems":[{"id":"ITEM-1","itemData":{"DOI":"10.1093/INFDIS/JIAA221","ISSN":"15376613","PMID":"32691833","abstract":"Patients with sepsis present across a spectrum of infection sites and severity of illnesses requiring complex decision making at the bedside as to when prompt antibiotics are indicated and which regimen is warranted. Many hemodynamically stable patients with sepsis and low acuity of illness may benefit from further work up before initiating therapy, whereas patients with septic shock warrant emergent broad-spectrum antibiotics. The precise empiric regimen is determined by assessing patient and epidemiological risk factors, likely source of infection based on presenting signs and symptoms, and severity of illness. Hospitals should implement quality improvement measures to aid in the rapid and accurate diagnosis of septic patients and to ensure antibiotics are given to patients in an expedited fashion after antibiotic order.","author":[{"dropping-particle":"","family":"Strich","given":"Jeffrey R.","non-dropping-particle":"","parse-names":false,"suffix":""},{"dropping-particle":"","family":"Heil","given":"Emily L.","non-dropping-particle":"","parse-names":false,"suffix":""},{"dropping-particle":"","family":"Masur","given":"Henry","non-dropping-particle":"","parse-names":false,"suffix":""}],"container-title":"Journal of Infectious Diseases","id":"ITEM-1","issue":"Suppl 2","issued":{"date-parts":[["2021"]]},"page":"S119-S131","title":"Considerations for empiric antimicrobial therapy in sepsis and septic shock in an era of antimicrobial resistance","type":"article-journal","volume":"222"},"uris":["http://www.mendeley.com/documents/?uuid=bb90868a-90f3-410e-bb86-3f245ff86ce6","http://www.mendeley.com/documents/?uuid=6b585e69-ce90-4c78-bf8a-92c102de6337"]},{"id":"ITEM-2","itemData":{"DOI":"10.3390/antibiotics13060569","ISSN":"20796382","abstract":"The appropriate antibiotic treatment of patients with bacterial sepsis in the intensive care unit (ICU) remains a challenge. Considering that current international guidelines recommend 7 days of antibiotic therapy as sufficient for most severe infections, our primary outcome was a comparison of clinical response to initial empirical therapy on day 7 and mortality between two groups of septic patients—with appropriate (AEAT) and inappropriate (IEAT) empirical antibiotic therapy according to the in vitro sensitivity of bacteria detected in a blood culture (BC). Adult patients admitted to the ICU between 2020 and 2023, who were diagnosed with sepsis according to the Sequential Organ Failure Assessment (SOFA) score ≥ 2 in association with a suspected or documented infection, were selected for the study. Of the 418 patients, 149 (35.6%) died within 7 days. Although the AEAT group had a lower mortality rate (30.3% vs. 34.2%) and better clinical improvement (52.8% vs. 47.4%) on day 7 after starting empirical antibiotic therapy, there was no significant difference. A causative organism was isolated from BCs in 30% of septic patients, with gram-negative bacteria (GNB) predominating in 60% of cases, and multidrug-resistant (MDR) or extensively drug-resistant (XDR) bacteria predominantly detected in the BCs of the IEAT group. Although the AEAT group had slightly worse clinical characteristics at the onset of sepsis than the IEAT group, the AEAT group showed faster improvement on days 7 and 14 of sepsis. In this retrospective cross-sectional study, the AEAT group was associated with better clinical response at day 7 after sepsis onset and lower mortality, but without a significant difference. Comorbidities and the type of bacterial pathogen should also be taken into account as they can also contribute to the prediction of the final outcome. These results demonstrate the importance of daily assessment of clinical factors to more accurately predict the clinical outcome of a septic patient.","author":[{"dropping-particle":"","family":"Tićac","given":"Mateo","non-dropping-particle":"","parse-names":false,"suffix":""},{"dropping-particle":"","family":"Grubić Kezele","given":"Tanja","non-dropping-particle":"","parse-names":false,"suffix":""},{"dropping-particle":"","family":"Bubonja Šonje","given":"Marina","non-dropping-particle":"","parse-names":false,"suffix":""}],"container-title":"Antibiotics","id":"ITEM-2","issue":"6","issued":{"date-parts":[["2024"]]},"page":"1-13","title":"Impact of Appropriate Empirical Antibiotic Treatment on the Clinical Response of Septic Patients in Intensive Care Unit: A Single-Center Observational Study","type":"article-journal","volume":"13"},"uris":["http://www.mendeley.com/documents/?uuid=88074956-868c-4c7a-b004-a19c9a0e72ad","http://www.mendeley.com/documents/?uuid=9c35c21e-8474-45ba-a392-91d7905ea47f"]},{"id":"ITEM-3","itemData":{"author":[{"dropping-particle":"","family":"Macias","given":"Jasmine","non-dropping-particle":"","parse-names":false,"suffix":""},{"dropping-particle":"","family":"Kahly","given":"Omar","non-dropping-particle":"","parse-names":false,"suffix":""},{"dropping-particle":"","family":"Edward","given":"Roshana","non-dropping-particle":"","parse-names":false,"suffix":""},{"dropping-particle":"","family":"Khan","given":"Sarah","non-dropping-particle":"","parse-names":false,"suffix":""},{"dropping-particle":"","family":"Qureshi","given":"Amad","non-dropping-particle":"","parse-names":false,"suffix":""},{"dropping-particle":"","family":"Shaik","given":"Alisha","non-dropping-particle":"","parse-names":false,"suffix":""},{"dropping-particle":"","family":"Shala","given":"Arta","non-dropping-particle":"","parse-names":false,"suffix":""},{"dropping-particle":"","family":"Shah","given":"Darsh","non-dropping-particle":"","parse-names":false,"suffix":""}],"container-title":"Modern Research in Inflammation","id":"ITEM-3","issue":"2","issued":{"date-parts":[["2022"]]},"page":"9-23","publisher":"Scientific Research Publishing","title":"Sepsis: A Systematic Review of Antibiotic Resistance and Antimicrobial Therapies","type":"article-journal","volume":"11"},"uris":["http://www.mendeley.com/documents/?uuid=cc624273-a5f6-4100-b6de-127a125bda5f","http://www.mendeley.com/documents/?uuid=d91ca33b-6315-4ce9-a2f8-26789319b4a3"]}],"mendeley":{"formattedCitation":"&lt;sup&gt;6–8&lt;/sup&gt;","plainTextFormattedCitation":"6–8","previouslyFormattedCitation":"&lt;sup&gt;6–8&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6–8</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In many hospital settings, especially in low- and middle-income countries, multidrug-resistant organisms (MDROs) such as extended-spectrum β-lactamase (ESBL)-producing organisms, carbapenem-resistant Gram-negative bacteria, and methicillin-resistant Staphylococcus aureus (MRSA) are increasingly prevalent. These resistance patterns reduce the likelihood that first-line empirical antibiotics will effectively target the causative pathogens</w:t>
      </w:r>
      <w:r w:rsidR="00D51450"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author":[{"dropping-particle":"","family":"Marino","given":"Andrea","non-dropping-particle":"","parse-names":false,"suffix":""},{"dropping-particle":"","family":"Maniaci","given":"Antonino","non-dropping-particle":"","parse-names":false,"suffix":""},{"dropping-particle":"","family":"Lentini","given":"Mario","non-dropping-particle":"","parse-names":false,"suffix":""},{"dropping-particle":"","family":"Ronsivalle","given":"Salvatore","non-dropping-particle":"","parse-names":false,"suffix":""},{"dropping-particle":"","family":"Nunnari","given":"Giuseppe","non-dropping-particle":"","parse-names":false,"suffix":""},{"dropping-particle":"","family":"Cocuzza","given":"Salvatore","non-dropping-particle":"","parse-names":false,"suffix":""},{"dropping-particle":"","family":"Parisi","given":"Federica Maria","non-dropping-particle":"","parse-names":false,"suffix":""},{"dropping-particle":"","family":"Cacopardo","given":"Bruno","non-dropping-particle":"","parse-names":false,"suffix":""},{"dropping-particle":"","family":"Lavalle","given":"Salvatore","non-dropping-particle":"","parse-names":false,"suffix":""},{"dropping-particle":"La","family":"Via","given":"Luigi","non-dropping-particle":"","parse-names":false,"suffix":""}],"id":"ITEM-1","issued":{"date-parts":[["2025"]]},"page":"1-20","title":"The Global Burden of Multidrug-Resistant Bacteria","type":"article-journal"},"uris":["http://www.mendeley.com/documents/?uuid=0c6ead66-3763-4205-9b37-b1d2bac03056","http://www.mendeley.com/documents/?uuid=fd615672-0b9b-4f17-b826-03f758b8a26b"]},{"id":"ITEM-2","itemData":{"DOI":"10.14710/jekk.v8i2.18530","abstract":"Background: Multidrug-resistant organisms (MDRO) pose a significant challenge to healthcare facilities globally, impacting patient outcomes and healthcare costs. Understanding the distribution and prevalence of MDRO is crucial for effective infection control and prevention strategies. This study aimed to investigate the distribution and prevalence of MDROs, among MDRO-positive individuals at Dr. Kariadi Hospital.Methods: A retrospective analysis of secondary data was conducted, encompassing a diverse range of MDROs, including ESBL, carbapenem-resistant Enterobacteriaceae (CRE), methicillin-resistant Staphylococcus aureus (MRSA), and vancomycin-resistant Staphylococcus aureus (VRSA). The study population consisted of individuals who tested positive for MDRO within the hospital.Results: A total of 100 MDRO-positive cases were identified during the study period. The most prevalent MDRO identified was ESBL-producing organisms, accounting for 59% of all cases. Other significant findings included the presence of carbapenem-resistant Enterobacteriaceae (CRE) and MRSA, which constituted 4% and 3% of the MDRO-positive cases, respectively. Notably, a diverse range of MDRO species, such as MRCoNS (methicillin-resistant coagulase-negative Staphylococci), was also detected.Conclusion: This study provides valuable insights into the distribution and prevalence of MDRO at Dr. Kariadi Hospital. The findings underscore the urgent need for robust infection control measures and targeted interventions to mitigate the spread of MDRO. Implementing effective surveillance, promoting antibiotic stewardship, and enhancing preventive strategies are crucial for controlling MDRO infections. Future research should focus on exploring the molecular characteristics and resistance mechanisms of the identified MDRO to inform tailored prevention and treatment approaches. ","author":[{"dropping-particle":"","family":"Ntambi","given":"Saidi","non-dropping-particle":"","parse-names":false,"suffix":""},{"dropping-particle":"","family":"Sutiningsih","given":"Dwi","non-dropping-particle":"","parse-names":false,"suffix":""},{"dropping-particle":"","family":"Hussein","given":"Maiga Ayub","non-dropping-particle":"","parse-names":false,"suffix":""},{"dropping-particle":"","family":"Laksono","given":"Budi","non-dropping-particle":"","parse-names":false,"suffix":""}],"container-title":"Jurnal Epidemiologi Kesehatan Komunitas","id":"ITEM-2","issue":"2","issued":{"date-parts":[["2023"]]},"page":"103-109","title":"Distribution and Prevalence of Multidrug-Resistant Organisms (MDROs) Among MDRO-Positive Individuals at Dr. Kariadi Hospital","type":"article-journal","volume":"8"},"uris":["http://www.mendeley.com/documents/?uuid=b25f1e71-3f48-4dd4-9c5a-ed559d1c5ea4","http://www.mendeley.com/documents/?uuid=21a7defe-96cb-4d94-afe2-ab7849fdbe8c"]},{"id":"ITEM-3","itemData":{"author":[{"dropping-particle":"","family":"Cornistein","given":"Wanda","non-dropping-particle":"","parse-names":false,"suffix":""},{"dropping-particle":"","family":"Balasini","given":"Carina","non-dropping-particle":"","parse-names":false,"suffix":""},{"dropping-particle":"","family":"Nuccetelli","given":"Yanina","non-dropping-particle":"","parse-names":false,"suffix":""},{"dropping-particle":"","family":"Rodriguez","given":"Viviana M","non-dropping-particle":"","parse-names":false,"suffix":""},{"dropping-particle":"","family":"Cudmani","given":"Norma","non-dropping-particle":"","parse-names":false,"suffix":""},{"dropping-particle":"","family":"Roca","given":"Maria Virginia","non-dropping-particle":"","parse-names":false,"suffix":""},{"dropping-particle":"","family":"Sadino","given":"Graciela","non-dropping-particle":"","parse-names":false,"suffix":""},{"dropping-particle":"","family":"Brizuela","given":"Martín","non-dropping-particle":"","parse-names":false,"suffix":""},{"dropping-particle":"","family":"Fernández","given":"Analía","non-dropping-particle":"","parse-names":false,"suffix":""},{"dropping-particle":"","family":"González","given":"Soledad","non-dropping-particle":"","parse-names":false,"suffix":""},{"dropping-particle":"","family":"Águila","given":"Damián","non-dropping-particle":"","parse-names":false,"suffix":""},{"dropping-particle":"","family":"Macchi","given":"Alejandra","non-dropping-particle":"","parse-names":false,"suffix":""},{"dropping-particle":"","family":"Staneloni","given":"Maria Inés","non-dropping-particle":"","parse-names":false,"suffix":""},{"dropping-particle":"","family":"Estenssoro","given":"Elisa","non-dropping-particle":"","parse-names":false,"suffix":""},{"dropping-particle":"","family":"Cornistein","given":"Wanda","non-dropping-particle":"","parse-names":false,"suffix":""},{"dropping-particle":"","family":"Balasini","given":"Carina","non-dropping-particle":"","parse-names":false,"suffix":""},{"dropping-particle":"","family":"Nuccetelli","given":"Yanina","non-dropping-particle":"","parse-names":false,"suffix":""},{"dropping-particle":"","family":"Rodriguez","given":"Viviana M","non-dropping-particle":"","parse-names":false,"suffix":""},{"dropping-particle":"","family":"Cudmani","given":"Norma","non-dropping-particle":"","parse-names":false,"suffix":""},{"dropping-particle":"","family":"Roca","given":"Maria Virginia","non-dropping-particle":"","parse-names":false,"suffix":""},{"dropping-particle":"","family":"Sadino","given":"Graciela","non-dropping-particle":"","parse-names":false,"suffix":""},{"dropping-particle":"","family":"Brizuela","given":"Martín","non-dropping-particle":"","parse-names":false,"suffix":""},{"dropping-particle":"","family":"Fernández","given":"Analía","non-dropping-particle":"","parse-names":false,"suffix":""},{"dropping-particle":"","family":"González","given":"Soledad","non-dropping-particle":"","parse-names":false,"suffix":""},{"dropping-particle":"","family":"Águila","given":"Damián","non-dropping-particle":"","parse-names":false,"suffix":""},{"dropping-particle":"","family":"Macchi","given":"Alejandra","non-dropping-particle":"","parse-names":false,"suffix":""},{"dropping-particle":"","family":"Staneloni","given":"Maria Inés","non-dropping-particle":"","parse-names":false,"suffix":""},{"dropping-particle":"","family":"Estenssoro","given":"Elisa","non-dropping-particle":"","parse-names":false,"suffix":""}],"id":"ITEM-3","issue":"3","issued":{"date-parts":[["2025"]]},"publisher":"American Society for Microbiology","title":"infections in adult intensive care units in Argentina ( PREV-AR )","type":"article-journal","volume":"69"},"uris":["http://www.mendeley.com/documents/?uuid=9dc7b500-f2e5-4385-b90b-c05028b309b9","http://www.mendeley.com/documents/?uuid=f9eb6fc4-6491-4822-9daf-9216198ed5f2"]}],"mendeley":{"formattedCitation":"&lt;sup&gt;9–11&lt;/sup&gt;","plainTextFormattedCitation":"9–11","previouslyFormattedCitation":"&lt;sup&gt;9–11&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eastAsia="zh-TW"/>
        </w:rPr>
        <w:t>9–11</w:t>
      </w:r>
      <w:r w:rsidRPr="00C94A70">
        <w:rPr>
          <w:rFonts w:asciiTheme="minorHAnsi" w:hAnsiTheme="minorHAnsi" w:cstheme="minorHAnsi"/>
          <w:sz w:val="20"/>
          <w:szCs w:val="20"/>
          <w:lang w:val="en-ID"/>
        </w:rPr>
        <w:fldChar w:fldCharType="end"/>
      </w:r>
    </w:p>
    <w:p w14:paraId="5D6409F8" w14:textId="2A551F36" w:rsidR="00E03F0F" w:rsidRPr="00C94A70" w:rsidRDefault="00E03F0F" w:rsidP="00903364">
      <w:pPr>
        <w:spacing w:after="0"/>
        <w:ind w:firstLine="720"/>
        <w:jc w:val="both"/>
        <w:rPr>
          <w:rFonts w:asciiTheme="minorHAnsi" w:hAnsiTheme="minorHAnsi" w:cstheme="minorHAnsi"/>
          <w:sz w:val="20"/>
          <w:szCs w:val="20"/>
          <w:lang w:val="en-ID" w:eastAsia="zh-TW"/>
        </w:rPr>
      </w:pPr>
      <w:r w:rsidRPr="00C94A70">
        <w:rPr>
          <w:rFonts w:asciiTheme="minorHAnsi" w:hAnsiTheme="minorHAnsi" w:cstheme="minorHAnsi"/>
          <w:sz w:val="20"/>
          <w:szCs w:val="20"/>
          <w:lang w:val="en-ID" w:eastAsia="zh-TW"/>
        </w:rPr>
        <w:t>Recent clinical studies underscore the critical importance of aligning empirical antibiotic therapy with local resistance profiles. An extensive retrospective study demonstrated that early administration of broad-spectrum antibiotics significantly increased the odds of survival among hospitalised sepsis patients (OR ≈ 4.94)</w:t>
      </w:r>
      <w:r w:rsidR="00D51450" w:rsidRPr="00C94A70">
        <w:rPr>
          <w:rFonts w:asciiTheme="minorHAnsi" w:hAnsiTheme="minorHAnsi" w:cstheme="minorHAnsi"/>
          <w:sz w:val="20"/>
          <w:szCs w:val="20"/>
          <w:lang w:val="en-ID" w:eastAsia="zh-TW"/>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eastAsia="zh-TW"/>
        </w:rPr>
        <w:instrText>ADDIN CSL_CITATION {"citationItems":[{"id":"ITEM-1","itemData":{"DOI":"10.3390/jcm14103555","ISSN":"20770383","abstract":"Background/Objectives: Sepsis, as a major cause of mortality worldwide, requires timely diagnosis and prompt treatment to improve patient outcomes. In this study, we evaluated sepsis management strategies and their impact on clinical outcomes in hospitalized patients. Methods: A retrospective study was conducted by analyzing clinical and treatment data from the electronic records of sepsis patients who had been admitted to tertiary care hospitals in eastern Saudi Arabia. Using systematic sampling, the details of eligible patients were obtained. Data were collected on patient demographics, vital signs, Sequential Organ Failure Assessment (SOFA) and laboratory parameters, treatment (antibiotic therapy, vasopressor use, or fluid resuscitation), and outcomes (survival in hospital). Statistical analyses were performed to assess the association between clinical and treatment strategies and patient outcomes. Results: A total of 234 sepsis cases were analyzed, of which 70.9% were survivors and 29.1% were non-survivors. Patients aged 60 years and above were the most affected. Statistically significant differences were observed across all of the measured vital sign variables and outcomes (p &lt; 0.0001). Based on SOFA scores, 56.41% of patients were assessed as having a moderate risk. Through our comparison of clinical and laboratory parameters between survivors and non-survivors, significant differences were found in all of the measured variables (p &lt; 0.0001). The odds of survival were significantly higher in those who received early administration of broad-spectrum antibiotics (OR = 4.9449, p = 0.0001), vasopressor therapy (OR = 1.9408, p = 0.0262), and fluid resuscitation OR = 11.035, p = 0.0001). Conclusions: The results of this study highlight the importance of early sepsis recognition, prompt antibiotic therapy, and standardized protocol adherence in improving patient outcomes and reducing mortality and morbidity.","author":[{"dropping-particle":"","family":"Jalal","given":"Sahbanathul Missiriya","non-dropping-particle":"","parse-names":false,"suffix":""},{"dropping-particle":"","family":"Jalal","given":"Suhail Hassan","non-dropping-particle":"","parse-names":false,"suffix":""},{"dropping-particle":"","family":"Alabdullatif","given":"Abeer Abbas","non-dropping-particle":"","parse-names":false,"suffix":""},{"dropping-particle":"","family":"Alasmakh","given":"Kamilah Essa","non-dropping-particle":"","parse-names":false,"suffix":""},{"dropping-particle":"","family":"Alnasser","given":"Zahraa Hussain","non-dropping-particle":"","parse-names":false,"suffix":""},{"dropping-particle":"","family":"Alhamdan","given":"Wadiah Yousef","non-dropping-particle":"","parse-names":false,"suffix":""}],"container-title":"Journal of Clinical Medicine","id":"ITEM-1","issue":"10","issued":{"date-parts":[["2025"]]},"page":"1-15","title":"Evaluating Sepsis Management and Patient Outcomes: A Comprehensive Retrospective Study of Clinical and Treatment Data","type":"article-journal","volume":"14"},"uris":["http://www.mendeley.com/documents/?uuid=f1c9a7ad-dc64-473c-8cb7-39b42ae2dfd3","http://www.mendeley.com/documents/?uuid=a4c9a3b5-bd1c-4554-b837-50674b16550d"]}],"mendeley":{"formattedCitation":"&lt;sup&gt;12&lt;/sup&gt;","plainTextFormattedCitation":"12","previouslyFormattedCitation":"&lt;sup&gt;12&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12</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However, the benefit of early broad-spectrum therapy depends on the susceptibility of the infecting organisms. When empirical therapy fails to cover resistant pathogens, patients experience delays in receiving adequate treatment, which is strongly associated with adverse outcomes</w:t>
      </w:r>
      <w:r w:rsidR="00D51450"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{"citationItems":[{"id":"ITEM-1","itemData":{"DOI":"10.1001/jamanetworkopen.2020.2899","ISSN":"2574-3805","abstract":"Broad-spectrum antibiotics are recommended for all patients with suspected sepsis to minimize the risk of undertreatment. However, little is known regarding the net prevalence of antibiotic-resistant pathogens across all patients with community-onset sepsis or the outcomes associated with unnecessarily broad empiric treatment.To elucidate the epidemiology of antibiotic-resistant pathogens and the outcomes associated with both undertreatment and overtreatment in patients with culture-positive community-onset sepsis.This cohort study included 17 430 adults admitted to 104 US hospitals between January 2009 and December 2015 with sepsis and positive clinical cultures within 2 days of admission. Data analysis took place from January 2018 to December 2019.Inadequate empiric antibiotic therapy (ie, ≥1 pathogen nonsusceptible to all antibiotics administered on the first or second day of treatment) and unnecessarily broad empiric therapy (ie, active against methicillin-resistant Staphylococcus aureus [MRSA]; vancomycin-resistant Enterococcus [VRE]; ceftriaxone-resistant gram-negative [CTX-RO] organisms, including Pseudomonas aeruginosa; or extended-spectrum β-lactamase [ESBL] gram-negative organisms when none of these were isolated).Prevalence and empiric treatment rates for antibiotic-resistant organisms and associations of inadequate and unnecessarily broad empiric therapy with in-hospital mortality were assessed, adjusting for baseline characteristics and severity of illness.Of 17 430 patients with culture-positive community-onset sepsis (median [interquartile range] age, 69 [57-81] years; 9737 [55.9%] women), 2865 (16.4%) died in the hospital. The most common culture-positive sites were urine (9077 [52.1%]), blood (6968 [40.0%]), and the respiratory tract (2912 [16.7%]). The most common pathogens were Escherichia coli (5873 [33.7%]), S aureus (3706 [21.3%]), and Streptococcus species (2361 [13.5%]). Among 15 183 cases in which all antibiotic-pathogen susceptibility combinations could be calculated, most (12 398 [81.6%]) received adequate empiric antibiotics. Empiric therapy targeted resistant organisms in 11 683 of 17 430 cases (67.0%; primarily vancomycin and anti-Pseudomonal β-lactams), but resistant organisms were uncommon (MRSA, 2045 [11.7%]; CTX-RO, 2278 [13.1%]; VRE, 360 [2.1%]; ESBLs, 133 [0.8%]). The net prevalence for at least 1 resistant gram-positive organism (ie, MRSA or VRE) was 13.6% (2376 patients), and for at least 1 resistant gram-negative o…","author":[{"dropping-particle":"","family":"Rhee","given":"Chanu","non-dropping-particle":"","parse-names":false,"suffix":""},{"dropping-particle":"","family":"Kadri","given":"Sameer S","non-dropping-particle":"","parse-names":false,"suffix":""},{"dropping-particle":"","family":"Dekker","given":"John P","non-dropping-particle":"","parse-names":false,"suffix":""},{"dropping-particle":"","family":"Danner","given":"Robert L","non-dropping-particle":"","parse-names":false,"suffix":""},{"dropping-particle":"","family":"Chen","given":"Huai-Chun","non-dropping-particle":"","parse-names":false,"suffix":""},{"dropping-particle":"","family":"Fram","given":"David","non-dropping-particle":"","parse-names":false,"suffix":""},{"dropping-particle":"","family":"Zhang","given":"Fang","non-dropping-particle":"","parse-names":false,"suffix":""},{"dropping-particle":"","family":"Wang","given":"Rui","non-dropping-particle":"","parse-names":false,"suffix":""},{"dropping-particle":"","family":"Klompas","given":"Michael","non-dropping-particle":"","parse-names":false,"suffix":""},{"dropping-particle":"","family":"Program","given":"for the C D C Prevention Epicenters","non-dropping-particle":"","parse-names":false,"suffix":""}],"container-title":"JAMA Network Open","id":"ITEM-1","issue":"4","issued":{"date-parts":[["2020","4"]]},"page":"e202899-e202899","title":"Prevalence of Antibiotic-Resistant Pathogens in Culture-Proven Sepsis and Outcomes Associated With Inadequate and Broad-Spectrum Empiric Antibiotic Use","type":"article-journal","volume":"3"},"uris":["http://www.mendeley.com/documents/?uuid=cf9b6a7f-b839-46fb-8ae9-e63803dfecbf","http://www.mendeley.com/documents/?uuid=ee15567e-4afd-40b5-a3df-6fe8b9ae3eec"]},{"id":"ITEM-2","itemData":{"DOI":"10.1186/s12879-024-09700-7","ISSN":"14712334","PMID":"39123114","abstract":"Background: Infections caused by multi-drug resistant Gram-negative pathogens are associated with worse clinical outcomes in critically ill patients. We evaluated hospital outcomes based on adequacy of overall and newer antibacterial therapy for Enterobacterales (ENT) and Pseudomonas aeruginosa (PsA) in US patients. Methods: Hospitalized adults ≥ 18 years old with facility-reported antibiotic susceptibility from 2018–2022 across 161 facilities in the BD Insights Research Database were identified as ENT- or PsA-positive. Generalized linear mixed models were used to evaluate the impact of inadequate empiric therapy (IET) and time to initiate newer antibacterials (ceftazidime-avibactam; ceftolozane-tazobactam; cefiderocol; meropenem-vaborbactam; eravacycline; and imipenem-cilcastatin-relebactam) on hospital mortality and post-culture length of stay (LOS). Results: Among 229,320 ENT and 36,027 PsA susceptibility results, 1.7% and 16.8% were carbapenem non-susceptible (carb-NS), respectively. Median time to first susceptibility result was longer for carb-NS vs. carb susceptible in ENT (64 h vs. 48 h) and PsA (67 h vs. 60 h). For ENT, IET was associated with significantly higher mortality (odds ratio [OR],1.29 [95% CI, 1.16–1.43, P &lt; 0.0001]) and longer hospital LOS (14.8 vs. 13.3, P &lt; 0.0001). Delayed start to newer antibacterial therapy was associated with significantly greater hospital mortality for ENT (P = 0.0182) and PsA (P = 0.0249) and significantly longer post-culture LOS for ENT (P &lt; 0.0001) and PsA (P &lt; 0.0001). Conclusions: Overall, IET and delayed use of newer antibacterials are associated with significantly worse hospital outcomes. More rapid identification of high-risk patients can facilitate adequate therapy and timely use of newer antibacterials developed for resistant Gram-negative pathogens.","author":[{"dropping-particle":"","family":"Riccobene","given":"Todd","non-dropping-particle":"","parse-names":false,"suffix":""},{"dropping-particle":"","family":"Ye","given":"Gang","non-dropping-particle":"","parse-names":false,"suffix":""},{"dropping-particle":"","family":"Lock","given":"John","non-dropping-particle":"","parse-names":false,"suffix":""},{"dropping-particle":"","family":"Yu","given":"Kalvin C.","non-dropping-particle":"","parse-names":false,"suffix":""},{"dropping-particle":"","family":"Ai","given":"Chin En","non-dropping-particle":"","parse-names":false,"suffix":""},{"dropping-particle":"","family":"Gregory","given":"Sara","non-dropping-particle":"","parse-names":false,"suffix":""},{"dropping-particle":"","family":"Gupta","given":"Vikas","non-dropping-particle":"","parse-names":false,"suffix":""}],"container-title":"BMC Infectious Diseases","id":"ITEM-2","issue":"1","issued":{"date-parts":[["2024"]]},"publisher":"BioMed Central","title":"Outcomes of inadequate empiric therapy and timing of newer antibacterial therapy in hospitalized adults with culture-positive Enterobacterales and Pseudomonas aeruginosa: a multicenter analysis","type":"article-journal","volume":"24"},"uris":["http://www.mendeley.com/documents/?uuid=e38eec3c-31ae-4e12-91ee-da60f4834bc6","http://www.mendeley.com/documents/?uuid=e8b51979-642a-4369-98b0-4f3efb089d28"]}],"mendeley":{"formattedCitation":"&lt;sup&gt;13,14&lt;/sup&gt;","plainTextFormattedCitation":"13,14","previouslyFormattedCitation":"&lt;sup&gt;13,14&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13,14</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Evidence from a prospective cohort study further shows that, although mortality differences may not always reach statistical significance, patients treated with antibiotics to which the pathogens were sensitive had significantly shorter hospital stays than those receiving ineffective therapy</w:t>
      </w:r>
      <w:r w:rsidR="00D51450"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{"citationItems":[{"id":"ITEM-1","itemData":{"DOI":"10.22487/htj.v11i3.1740","ISSN":"2407-8441","abstract":"Background: Sepsis, a severe immune response to infection, has a concerning global mortality rate of 85%, predominantly due to Gram-negative bacteria. The rise of antibiotic resistance in these organisms complicates treatment, leading to higher mortality and prolonged hospital stays. Effective empirical antibiotics can mitigate these outcomes. Objective: This study compares outcomes of sepsis patients infected with multidrug-resistant organisms (MDRO) based on empirical antibiotic sensitivity testing, focusing on mortality and length of stay (LOS) within 14 days of sepsis onset. Methods: A prospective cohort observational study at Dr. M. Djamil General Hospital included 94 participants. Patients who died within 14 days were excluded from the LOS analysis to prevent bias. Initial assessments included culture sampling and organ dysfunction. Results: The study revealed no significant difference in mortality based on antibiotic sensitivity (p=0.283), but the LOS was significantly shorter in those treated with sensitive antibiotics (p&lt;0.016). Conclusion: LOS was significantly affected by antibiotic sensitivity, with patients receiving effective antibiotics experiencing shorter stays, though mortality differences were not statistically significant in the 14-day window","author":[{"dropping-particle":"","family":"Fadrian","given":"Fadrian","non-dropping-particle":"","parse-names":false,"suffix":""},{"dropping-particle":"","family":"Ahmad","given":"Armen","non-dropping-particle":"","parse-names":false,"suffix":""},{"dropping-particle":"","family":"Harvindra","given":"Astrid","non-dropping-particle":"","parse-names":false,"suffix":""},{"dropping-particle":"","family":"Putri","given":"Vidola Yasena","non-dropping-particle":"","parse-names":false,"suffix":""}],"container-title":"Healthy Tadulako Journal (Jurnal Kesehatan Tadulako)","id":"ITEM-1","issue":"3","issued":{"date-parts":[["2025"]]},"page":"462-479","title":"Different Sepsis Patient Outcomes Due to Multidrug-Resistant Organisms (MDRO): A Study of Empirical Antibiotic Sensitivity Test Results","type":"article-journal","volume":"11"},"uris":["http://www.mendeley.com/documents/?uuid=a5ff0adc-77c2-4c40-8f00-3c7e529b6a6d","http://www.mendeley.com/documents/?uuid=493f2b9e-3685-4e3f-9542-7aa068f71af6"]},{"id":"ITEM-2","itemData":{"DOI":"10.3390/antibiotics13060569","ISSN":"20796382","abstract":"The appropriate antibiotic treatment of patients with bacterial sepsis in the intensive care unit (ICU) remains a challenge. Considering that current international guidelines recommend 7 days of antibiotic therapy as sufficient for most severe infections, our primary outcome was a comparison of clinical response to initial empirical therapy on day 7 and mortality between two groups of septic patients—with appropriate (AEAT) and inappropriate (IEAT) empirical antibiotic therapy according to the in vitro sensitivity of bacteria detected in a blood culture (BC). Adult patients admitted to the ICU between 2020 and 2023, who were diagnosed with sepsis according to the Sequential Organ Failure Assessment (SOFA) score ≥ 2 in association with a suspected or documented infection, were selected for the study. Of the 418 patients, 149 (35.6%) died within 7 days. Although the AEAT group had a lower mortality rate (30.3% vs. 34.2%) and better clinical improvement (52.8% vs. 47.4%) on day 7 after starting empirical antibiotic therapy, there was no significant difference. A causative organism was isolated from BCs in 30% of septic patients, with gram-negative bacteria (GNB) predominating in 60% of cases, and multidrug-resistant (MDR) or extensively drug-resistant (XDR) bacteria predominantly detected in the BCs of the IEAT group. Although the AEAT group had slightly worse clinical characteristics at the onset of sepsis than the IEAT group, the AEAT group showed faster improvement on days 7 and 14 of sepsis. In this retrospective cross-sectional study, the AEAT group was associated with better clinical response at day 7 after sepsis onset and lower mortality, but without a significant difference. Comorbidities and the type of bacterial pathogen should also be taken into account as they can also contribute to the prediction of the final outcome. These results demonstrate the importance of daily assessment of clinical factors to more accurately predict the clinical outcome of a septic patient.","author":[{"dropping-particle":"","family":"Tićac","given":"Mateo","non-dropping-particle":"","parse-names":false,"suffix":""},{"dropping-particle":"","family":"Grubić Kezele","given":"Tanja","non-dropping-particle":"","parse-names":false,"suffix":""},{"dropping-particle":"","family":"Bubonja Šonje","given":"Marina","non-dropping-particle":"","parse-names":false,"suffix":""}],"container-title":"Antibiotics","id":"ITEM-2","issue":"6","issued":{"date-parts":[["2024"]]},"page":"1-13","title":"Impact of Appropriate Empirical Antibiotic Treatment on the Clinical Response of Septic Patients in Intensive Care Unit: A Single-Center Observational Study","type":"article-journal","volume":"13"},"uris":["http://www.mendeley.com/documents/?uuid=9c35c21e-8474-45ba-a392-91d7905ea47f","http://www.mendeley.com/documents/?uuid=88074956-868c-4c7a-b004-a19c9a0e72ad","http://www.mendeley.com/documents/?uuid=9f5d3786-38f2-4778-be8b-17123ecd2fc0"]}],"mendeley":{"formattedCitation":"&lt;sup&gt;1,7&lt;/sup&gt;","plainTextFormattedCitation":"1,7","previouslyFormattedCitation":"&lt;sup&gt;1,7&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eastAsia="zh-TW"/>
        </w:rPr>
        <w:t>1,7</w:t>
      </w:r>
      <w:r w:rsidRPr="00C94A70">
        <w:rPr>
          <w:rFonts w:asciiTheme="minorHAnsi" w:hAnsiTheme="minorHAnsi" w:cstheme="minorHAnsi"/>
          <w:sz w:val="20"/>
          <w:szCs w:val="20"/>
          <w:lang w:val="en-ID"/>
        </w:rPr>
        <w:fldChar w:fldCharType="end"/>
      </w:r>
    </w:p>
    <w:p w14:paraId="61DF5DE9" w14:textId="76BE5770" w:rsidR="00E03F0F" w:rsidRPr="00C94A70" w:rsidRDefault="00E03F0F" w:rsidP="00903364">
      <w:pPr>
        <w:spacing w:after="0"/>
        <w:ind w:firstLine="720"/>
        <w:jc w:val="both"/>
        <w:rPr>
          <w:rFonts w:asciiTheme="minorHAnsi" w:hAnsiTheme="minorHAnsi" w:cstheme="minorHAnsi"/>
          <w:sz w:val="20"/>
          <w:szCs w:val="20"/>
          <w:lang w:val="en-ID" w:eastAsia="zh-TW"/>
        </w:rPr>
      </w:pPr>
      <w:r w:rsidRPr="00C94A70">
        <w:rPr>
          <w:rFonts w:asciiTheme="minorHAnsi" w:hAnsiTheme="minorHAnsi" w:cstheme="minorHAnsi"/>
          <w:sz w:val="20"/>
          <w:szCs w:val="20"/>
          <w:lang w:val="en-ID" w:eastAsia="zh-TW"/>
        </w:rPr>
        <w:t>The relationship between AMR and sepsis outcomes is further complicated by the increasing prevalence of MDRO-associated sepsis in hospital settings. A recent analysis of sepsis cases in internal medicine wards found that MDRO-positive sepsis was associated with more extended hospitalisation and higher mortality compared to drug-sensitive infections. These findings highlight the need for continuous surveillance of resist</w:t>
      </w:r>
      <w:r w:rsidRPr="00C94A70">
        <w:rPr>
          <w:rFonts w:asciiTheme="minorHAnsi" w:hAnsiTheme="minorHAnsi" w:cstheme="minorHAnsi"/>
          <w:sz w:val="20"/>
          <w:szCs w:val="20"/>
          <w:lang w:val="en-ID"/>
        </w:rPr>
        <w:t>ance patterns and for integrating such data into empirical treatment protocols</w:t>
      </w:r>
      <w:r w:rsidR="00D51450"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{"citationItems":[{"id":"ITEM-1","itemData":{"DOI":"10.3390/tropicalmed7110365","ISSN":"24146366","abstract":"Background: Multi-drug resistance organisms (MDRO) often cause increased morbidity, mortality, and length of stays (LOS). However, there is uncertainty whether the infection of MDRO increase the morbidity, mortality, and ICU-LOS. Objective: This study was performed to determine the prevalence of MDRO in the ICU, the site of infection, and the association of MDRO or site of infection with mortality. The secondary outcome was determined by ascertaining the association of MDRO or site of infection with ICU-LOS. Methods: A retrospective cohort study was performed with adult sepsis patients in the ICU. Univariate and multivariate (MVA) logistic regression with cox regression modeling were performed to compute the association of MDRO with ICU mortality. MVA modelling was performed for ICU-LOS predictors. Results: Out of 228 patients, the isolated MDRO was 97 (42.5%), of which 78% were Gram-negative bacteria. The mortality rate among those with MDRO was 85 (37.3%). The hospital acquired infection (HAI) was a significant predictor for ICU-LOS in univariate linear regression (R2 = 0.034, p = 0.005). In MVA linear regression, both Enterococcus faecalis infection and Acinetobacter baumannii (AC)-MDRO were predictors for ICU-LOS with (R2 = 0.478, p &lt; 0.05). In the univariate cox regression, only the infection with AC-MDRO was a risk factor for ICU-mortality with [HR = 1.802 (95% CI: 1.2–2.706; p = 0.005)]. Conclusions: Identifying risk factors for MDRO addresses the appropriate administration of empirical antibiotics and allows to effectively control the source of infection, which would reduce mortality and ICU-LOS. The usage of broad-spectrum antibiotics should be limited to those with substantial risk factors for acquiring MDRO.","author":[{"dropping-particle":"","family":"Al-Sunaidar","given":"Khalid Ahmad","non-dropping-particle":"","parse-names":false,"suffix":""},{"dropping-particle":"","family":"Aziz","given":"Noorizan Abd","non-dropping-particle":"","parse-names":false,"suffix":""},{"dropping-particle":"","family":"Hassan","given":"Yahaya","non-dropping-particle":"","parse-names":false,"suffix":""},{"dropping-particle":"","family":"Jamshed","given":"Shazia","non-dropping-particle":"","parse-names":false,"suffix":""},{"dropping-particle":"","family":"Sekar","given":"Mahendran","non-dropping-particle":"","parse-names":false,"suffix":""}],"container-title":"Tropical Medicine and Infectious Disease","id":"ITEM-1","issue":"11","issued":{"date-parts":[["2022"]]},"page":"1-15","title":"Association of Multidrug Resistance Bacteria and Clinical Outcomes of Adult Patients with Sepsis in the Intensive Care Unit","type":"article-journal","volume":"7"},"uris":["http://www.mendeley.com/documents/?uuid=b91c615f-c5ff-4b97-bd46-b087bcac6e2f","http://www.mendeley.com/documents/?uuid=99e8f1e5-f47e-470e-b8dd-330b25f433c7"]},{"id":"ITEM-2","itemData":{"ISSN":"2196-5471","author":[{"dropping-particle":"","family":"Shrivastava","given":"Parkhi","non-dropping-particle":"","parse-names":false,"suffix":""},{"dropping-particle":"","family":"Gothalwal","given":"Ragini","non-dropping-particle":"","parse-names":false,"suffix":""},{"dropping-particle":"","family":"Gandhi","given":"Puneet","non-dropping-particle":"","parse-names":false,"suffix":""}],"container-title":"Current Clinical Microbiology Reports","id":"ITEM-2","issue":"3","issued":{"date-parts":[["2023"]]},"page":"85-98","publisher":"Springer","title":"Therapeutic Strategies to Ameliorate Antibiotic Resistance and Host-Inflammation Response in Sepsis: an Innovative Approach","type":"article-journal","volume":"10"},"uris":["http://www.mendeley.com/documents/?uuid=4a9b9997-aa6a-495c-b24c-e19bcaa03b68","http://www.mendeley.com/documents/?uuid=f18e3774-e0c1-4c4f-8d4e-ecd3872aea3d"]},{"id":"ITEM-3","itemData":{"DOI":"10.22487/htj.v11i3.1740","ISSN":"2407-8441","abstract":"Background: Sepsis, a severe immune response to infection, has a concerning global mortality rate of 85%, predominantly due to Gram-negative bacteria. The rise of antibiotic resistance in these organisms complicates treatment, leading to higher mortality and prolonged hospital stays. Effective empirical antibiotics can mitigate these outcomes. Objective: This study compares outcomes of sepsis patients infected with multidrug-resistant organisms (MDRO) based on empirical antibiotic sensitivity testing, focusing on mortality and length of stay (LOS) within 14 days of sepsis onset. Methods: A prospective cohort observational study at Dr. M. Djamil General Hospital included 94 participants. Patients who died within 14 days were excluded from the LOS analysis to prevent bias. Initial assessments included culture sampling and organ dysfunction. Results: The study revealed no significant difference in mortality based on antibiotic sensitivity (p=0.283), but the LOS was significantly shorter in those treated with sensitive antibiotics (p&lt;0.016). Conclusion: LOS was significantly affected by antibiotic sensitivity, with patients receiving effective antibiotics experiencing shorter stays, though mortality differences were not statistically significant in the 14-day window","author":[{"dropping-particle":"","family":"Fadrian","given":"Fadrian","non-dropping-particle":"","parse-names":false,"suffix":""},{"dropping-particle":"","family":"Ahmad","given":"Armen","non-dropping-particle":"","parse-names":false,"suffix":""},{"dropping-particle":"","family":"Harvindra","given":"Astrid","non-dropping-particle":"","parse-names":false,"suffix":""},{"dropping-particle":"","family":"Putri","given":"Vidola Yasena","non-dropping-particle":"","parse-names":false,"suffix":""}],"container-title":"Healthy Tadulako Journal (Jurnal Kesehatan Tadulako)","id":"ITEM-3","issue":"3","issued":{"date-parts":[["2025"]]},"page":"462-479","title":"Different Sepsis Patient Outcomes Due to Multidrug-Resistant Organisms (MDRO): A Study of Empirical Antibiotic Sensitivity Test Results","type":"article-journal","volume":"11"},"uris":["http://www.mendeley.com/documents/?uuid=a5ff0adc-77c2-4c40-8f00-3c7e529b6a6d","http://www.mendeley.com/documents/?uuid=493f2b9e-3685-4e3f-9542-7aa068f71af6"]}],"mendeley":{"formattedCitation":"&lt;sup&gt;1,15,16&lt;/sup&gt;","plainTextFormattedCitation":"1,15,16","previouslyFormattedCitation":"&lt;sup&gt;1,15,16&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eastAsia="zh-TW"/>
        </w:rPr>
        <w:t>1,15,16</w:t>
      </w:r>
      <w:r w:rsidRPr="00C94A70">
        <w:rPr>
          <w:rFonts w:asciiTheme="minorHAnsi" w:hAnsiTheme="minorHAnsi" w:cstheme="minorHAnsi"/>
          <w:sz w:val="20"/>
          <w:szCs w:val="20"/>
          <w:lang w:val="en-ID"/>
        </w:rPr>
        <w:fldChar w:fldCharType="end"/>
      </w:r>
    </w:p>
    <w:p w14:paraId="5122A649" w14:textId="57DBB64D" w:rsidR="00E03F0F" w:rsidRPr="00C94A70" w:rsidRDefault="002B705B" w:rsidP="00903364">
      <w:pPr>
        <w:spacing w:after="0"/>
        <w:ind w:firstLine="720"/>
        <w:jc w:val="both"/>
        <w:rPr>
          <w:rFonts w:asciiTheme="minorHAnsi" w:hAnsiTheme="minorHAnsi" w:cstheme="minorHAnsi"/>
          <w:sz w:val="20"/>
          <w:szCs w:val="20"/>
          <w:lang w:val="en-ID" w:eastAsia="zh-TW"/>
        </w:rPr>
      </w:pPr>
      <w:r w:rsidRPr="00C94A70">
        <w:rPr>
          <w:rFonts w:asciiTheme="minorHAnsi" w:hAnsiTheme="minorHAnsi" w:cstheme="minorHAnsi"/>
          <w:sz w:val="20"/>
          <w:szCs w:val="20"/>
          <w:lang w:eastAsia="zh-TW"/>
        </w:rPr>
        <w:t>Despite extensive evidence linking antimicrobial resistance (AMR) to adverse outcomes in sepsis, an important knowledge gap remains regarding how resistance to commonly used first</w:t>
      </w:r>
      <w:r w:rsidRPr="00C94A70">
        <w:rPr>
          <w:rFonts w:asciiTheme="minorHAnsi" w:hAnsiTheme="minorHAnsi" w:cstheme="minorHAnsi"/>
          <w:sz w:val="20"/>
          <w:szCs w:val="20"/>
          <w:lang w:eastAsia="zh-TW"/>
        </w:rPr>
        <w:noBreakHyphen/>
        <w:t>line antibiotics—particularly third</w:t>
      </w:r>
      <w:r w:rsidRPr="00C94A70">
        <w:rPr>
          <w:rFonts w:asciiTheme="minorHAnsi" w:hAnsiTheme="minorHAnsi" w:cstheme="minorHAnsi"/>
          <w:sz w:val="20"/>
          <w:szCs w:val="20"/>
          <w:lang w:eastAsia="zh-TW"/>
        </w:rPr>
        <w:noBreakHyphen/>
        <w:t>generation cephalosporins, which constitute the empirical backbone of sepsis management in many hospitals—relates to patient outcomes. Most available studies evaluate broad patterns of AMR or overall tre</w:t>
      </w:r>
      <w:r w:rsidRPr="00C94A70">
        <w:rPr>
          <w:rFonts w:asciiTheme="minorHAnsi" w:hAnsiTheme="minorHAnsi" w:cstheme="minorHAnsi"/>
          <w:sz w:val="20"/>
          <w:szCs w:val="20"/>
        </w:rPr>
        <w:t>atment success but do not specifically examine the association between pathogen resistance to first</w:t>
      </w:r>
      <w:r w:rsidRPr="00C94A70">
        <w:rPr>
          <w:rFonts w:asciiTheme="minorHAnsi" w:hAnsiTheme="minorHAnsi" w:cstheme="minorHAnsi"/>
          <w:sz w:val="20"/>
          <w:szCs w:val="20"/>
        </w:rPr>
        <w:noBreakHyphen/>
        <w:t>line agents and clinically relevant outcomes such as survival. Because resistance profiles vary substantially across hospitals and regions, generating local evidence on the relationship between first</w:t>
      </w:r>
      <w:r w:rsidRPr="00C94A70">
        <w:rPr>
          <w:rFonts w:asciiTheme="minorHAnsi" w:hAnsiTheme="minorHAnsi" w:cstheme="minorHAnsi"/>
          <w:sz w:val="20"/>
          <w:szCs w:val="20"/>
        </w:rPr>
        <w:noBreakHyphen/>
        <w:t>line antibiotic resistance and sepsis outcomes is essential to support antimicrobial stewardship efforts and to refine empirical treatment guidelines</w:t>
      </w:r>
      <w:r w:rsidR="00E03F0F" w:rsidRPr="00C94A70">
        <w:rPr>
          <w:rFonts w:asciiTheme="minorHAnsi" w:hAnsiTheme="minorHAnsi" w:cstheme="minorHAnsi"/>
          <w:sz w:val="20"/>
          <w:szCs w:val="20"/>
          <w:lang w:val="en-ID"/>
        </w:rPr>
        <w:t>.</w:t>
      </w:r>
      <w:r w:rsidR="00E03F0F"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{"citationItems":[{"id":"ITEM-1","itemData":{"DOI":"10.11648/j.ajhr.20241201.12","abstract":"Sepsis, a life-threatening condition caused by the body&amp;apos;s excessive response to an infection, has emerged as a global health menace. Around 20% of all global deaths are attributable to sepsis. Conversely, the presence of antimicrobial resistance (AMR) poses a significant peril to the health system. AMR constitutes an escalating pandemic that we must not disregard, as the absence of effective antibiotics would compromise the treatment of even commonplace bacterial infections. Therefore, the increasing prevalence of AMR further adds complexity to the management and outcomes of individuals with sepsis. AMR plays a contributory role in aggravating the consequences of sepsis, ranging from prolonged hospitalization to mortality. The World Health Organization (WHO) has prioritized AMR as a major concern necessitating immediate action to prevent dire consequences in the future. Though, One Health approach, infection prevention, rational use of antibiotics, strengthening surveillance systems, as well as research and development, are crucial strategies in combating antimicrobial resistance, alternative therapies, such as phage therapy and immunotherapeutics, are being explored for the management of AMR infections. Advances in these therapies show promise in addressing the challenges posed by antibiotic resistance in treating sepsis. In this critical assessment, we succinctly delineate the existing challenges of AMR in managing sepsis cases, and we provide an overview of the advancements in treating sepsis through alternative therapeutic modalities.","author":[{"dropping-particle":"","family":"Debela","given":"Negeri","non-dropping-particle":"","parse-names":false,"suffix":""},{"dropping-particle":"","family":"Nekahiwot","given":"Solome","non-dropping-particle":"","parse-names":false,"suffix":""}],"container-title":"American Journal of Health Research","id":"ITEM-1","issue":"1","issued":{"date-parts":[["2024"]]},"page":"8-18","title":"Sepsis, Antimicrobial Resistance, and Alternative Therapies","type":"article-journal","volume":"12"},"uris":["http://www.mendeley.com/documents/?uuid=23217c50-0724-43f3-b4c7-2ba324ebecba","http://www.mendeley.com/documents/?uuid=aad602b3-17c1-454a-917e-45c015f4df51"]},{"id":"ITEM-2","itemData":{"DOI":"10.1016/S1473-3099(25)00150-1","ISBN":"9789240093461","ISSN":"14744457","PMID":"40245911","author":[{"dropping-particle":"","family":"Moore","given":"David P.","non-dropping-particle":"","parse-names":false,"suffix":""}],"container-title":"The Lancet Infectious Diseases","id":"ITEM-2","issue":"9","issued":{"date-parts":[["2025"]]},"page":"957-958","publisher":"Elsevier Ltd","title":"Battling antimicrobial resistance: new guidance and insights","type":"article-journal","volume":"25"},"uris":["http://www.mendeley.com/documents/?uuid=5f043e31-7cf8-4ced-99d1-eee03b5a0d9b","http://www.mendeley.com/documents/?uuid=2ec15e81-8e68-4006-bfdc-91cbb1394d25"]},{"id":"ITEM-3","itemData":{"DOI":"10.2471/b09585","ISBN":"9789240116337","abstract":"This article describes the public health impact of Alzheimer's disease (AD), including incidence and prevalence, mortality and morbidity, use and costs of care, and the overall impact on caregivers and society. The Special Report discusses the challenges of providing equitable health care for people with dementia in the United States. An estimated 6.2 million Americans age 65 and older are living with Alzheimer's dementia today. This number could grow to 13.8 million by 2060 barring the development of medical breakthroughs to prevent, slow or cure AD. Official death certificates recorded 121,499 deaths from AD in 2019, the latest year for which data are available, making Alzheimer's the sixth-leading cause of death in the United States and the fifth-leading cause of death among Americans age 65 and older. Between 2000 and 2019, deaths from stroke, heart disease and HIV decreased, whereas reported deaths from AD increased more than 145%. This trajectory of deaths from AD was likely exacerbated in 2020 by the COVID-19 pandemic. More than 11 million family members and other unpaid caregivers provided an estimated 15.3 billion hours of care to people with Alzheimer's or other dementias in 2020. These figures reflect a decline in the number of caregivers compared with a decade earlier, as well as an increase in the amount of care provided by each remaining caregiver. Unpaid dementia caregiving was valued at $256.7 billion in 2020. Its costs, however, extend to family caregivers’ increased risk for emotional distress and negative mental and physical health outcomes — costs that have been aggravated by COVID-19. Average per-person Medicare payments for services to beneficiaries age 65 and older with AD or other dementias are more than three times as great as payments for beneficiaries without these conditions, and Medicaid payments are more than 23 times as great. Total payments in 2021 for health care, long-term care and hospice services for people age 65 and older with dementia are estimated to be $355 billion. Despite years of efforts to make health care more equitable in the United States, racial and ethnic disparities remain — both in terms of health disparities, which involve differences in the burden of illness, and health care disparities, which involve differences in the ability to use health care services. Blacks, Hispanics, Asian Americans and Native Americans continue to have a higher burden of illness and lower access to health care compared with …","author":[{"dropping-particle":"","family":"World Health Organnization","given":"","non-dropping-particle":"","parse-names":false,"suffix":""}],"container-title":"Global antibiotic resistance surveillance report 2025","id":"ITEM-3","issued":{"date-parts":[["2025"]]},"title":"Global antibiotic resistance surveillance report 2025","type":"book"},"uris":["http://www.mendeley.com/documents/?uuid=31d2bb85-bb03-401d-bbaf-c5db553a6737","http://www.mendeley.com/documents/?uuid=02a54616-9ab6-4b7f-939d-fed6a09318b0"]}],"mendeley":{"formattedCitation":"&lt;sup&gt;17–19&lt;/sup&gt;","plainTextFormattedCitation":"17–19","previouslyFormattedCitation":"&lt;sup&gt;17–19&lt;/sup&gt;"},"properties":{"noteIndex":0},"schema":"https://github.com/citation-style-language/schema/raw/master/csl-citation.json"}</w:instrText>
      </w:r>
      <w:r w:rsidR="00E03F0F"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eastAsia="zh-TW"/>
        </w:rPr>
        <w:t>17–19</w:t>
      </w:r>
      <w:r w:rsidR="00E03F0F" w:rsidRPr="00C94A70">
        <w:rPr>
          <w:rFonts w:asciiTheme="minorHAnsi" w:hAnsiTheme="minorHAnsi" w:cstheme="minorHAnsi"/>
          <w:sz w:val="20"/>
          <w:szCs w:val="20"/>
          <w:lang w:val="en-ID"/>
        </w:rPr>
        <w:fldChar w:fldCharType="end"/>
      </w:r>
    </w:p>
    <w:p w14:paraId="33A3C417" w14:textId="395214EA" w:rsidR="009351D1" w:rsidRPr="00C94A70" w:rsidRDefault="00E03F0F" w:rsidP="00903364">
      <w:pPr>
        <w:spacing w:after="0"/>
        <w:ind w:firstLine="720"/>
        <w:jc w:val="both"/>
        <w:rPr>
          <w:rFonts w:asciiTheme="minorHAnsi" w:hAnsiTheme="minorHAnsi" w:cstheme="minorHAnsi"/>
          <w:sz w:val="20"/>
          <w:szCs w:val="20"/>
        </w:rPr>
      </w:pPr>
      <w:r w:rsidRPr="00C94A70">
        <w:rPr>
          <w:rFonts w:ascii="Segoe UI" w:hAnsi="Segoe UI" w:cs="Segoe UI"/>
          <w:sz w:val="20"/>
          <w:szCs w:val="20"/>
          <w:lang w:val="en-ID" w:eastAsia="zh-TW"/>
        </w:rPr>
        <w:t>Therefore, this study aims to investigate the correlation between bacterial resistance to first</w:t>
      </w:r>
      <w:r w:rsidRPr="00C94A70">
        <w:rPr>
          <w:rFonts w:ascii="Segoe UI" w:hAnsi="Segoe UI" w:cs="Segoe UI"/>
          <w:sz w:val="20"/>
          <w:szCs w:val="20"/>
          <w:lang w:val="en-ID" w:eastAsia="zh-TW"/>
        </w:rPr>
        <w:noBreakHyphen/>
        <w:t xml:space="preserve">line antibiotics and sepsis treatment outcomes in a hospital setting. By analysing pathogen susceptibility profiles alongside clinical outcomes, this research aims to provide evidence-based insights to support the refinement of empirical antibiotic protocols, enhance antimicrobial stewardship, and ultimately improve patient </w:t>
      </w:r>
      <w:r w:rsidRPr="00C94A70">
        <w:rPr>
          <w:rFonts w:ascii="Segoe UI" w:hAnsi="Segoe UI" w:cs="Segoe UI"/>
          <w:sz w:val="20"/>
          <w:szCs w:val="20"/>
          <w:lang w:val="en-ID"/>
        </w:rPr>
        <w:t>outcomes.</w:t>
      </w:r>
    </w:p>
    <w:p w14:paraId="67A0615B" w14:textId="77777777" w:rsidR="005C2754" w:rsidRPr="00C94A70" w:rsidRDefault="005C2754" w:rsidP="00903364">
      <w:pPr>
        <w:spacing w:after="0"/>
        <w:jc w:val="both"/>
        <w:rPr>
          <w:rFonts w:asciiTheme="minorHAnsi" w:hAnsiTheme="minorHAnsi" w:cstheme="minorHAnsi"/>
          <w:sz w:val="20"/>
          <w:szCs w:val="20"/>
        </w:rPr>
      </w:pPr>
    </w:p>
    <w:p w14:paraId="08B850E2" w14:textId="21659399" w:rsidR="006C664D" w:rsidRPr="00C94A70" w:rsidRDefault="006C664D" w:rsidP="00903364">
      <w:pPr>
        <w:spacing w:after="0"/>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t>MET</w:t>
      </w:r>
      <w:r w:rsidR="00ED556F" w:rsidRPr="00C94A70">
        <w:rPr>
          <w:rFonts w:asciiTheme="minorHAnsi" w:hAnsiTheme="minorHAnsi" w:cstheme="minorHAnsi"/>
          <w:b/>
          <w:color w:val="2E74B5" w:themeColor="accent5" w:themeShade="BF"/>
          <w:spacing w:val="20"/>
          <w:sz w:val="24"/>
          <w:szCs w:val="24"/>
        </w:rPr>
        <w:t>H</w:t>
      </w:r>
      <w:r w:rsidRPr="00C94A70">
        <w:rPr>
          <w:rFonts w:asciiTheme="minorHAnsi" w:hAnsiTheme="minorHAnsi" w:cstheme="minorHAnsi"/>
          <w:b/>
          <w:color w:val="2E74B5" w:themeColor="accent5" w:themeShade="BF"/>
          <w:spacing w:val="20"/>
          <w:sz w:val="24"/>
          <w:szCs w:val="24"/>
        </w:rPr>
        <w:t>OD</w:t>
      </w:r>
      <w:r w:rsidR="00ED556F" w:rsidRPr="00C94A70">
        <w:rPr>
          <w:rFonts w:asciiTheme="minorHAnsi" w:hAnsiTheme="minorHAnsi" w:cstheme="minorHAnsi"/>
          <w:b/>
          <w:color w:val="2E74B5" w:themeColor="accent5" w:themeShade="BF"/>
          <w:spacing w:val="20"/>
          <w:sz w:val="24"/>
          <w:szCs w:val="24"/>
        </w:rPr>
        <w:t>S</w:t>
      </w:r>
      <w:r w:rsidRPr="00C94A70">
        <w:rPr>
          <w:rFonts w:asciiTheme="minorHAnsi" w:hAnsiTheme="minorHAnsi" w:cstheme="minorHAnsi"/>
          <w:b/>
          <w:color w:val="2E74B5" w:themeColor="accent5" w:themeShade="BF"/>
          <w:spacing w:val="20"/>
          <w:sz w:val="24"/>
          <w:szCs w:val="24"/>
        </w:rPr>
        <w:t xml:space="preserve"> </w:t>
      </w:r>
    </w:p>
    <w:p w14:paraId="7BEFB3E0" w14:textId="77777777" w:rsidR="00E03F0F" w:rsidRPr="00C94A70" w:rsidRDefault="00E03F0F" w:rsidP="00903364">
      <w:pPr>
        <w:spacing w:after="0"/>
        <w:jc w:val="both"/>
        <w:rPr>
          <w:rFonts w:asciiTheme="minorHAnsi" w:hAnsiTheme="minorHAnsi" w:cstheme="minorHAnsi"/>
          <w:b/>
          <w:sz w:val="20"/>
          <w:szCs w:val="20"/>
        </w:rPr>
      </w:pPr>
      <w:r w:rsidRPr="00C94A70">
        <w:rPr>
          <w:rFonts w:asciiTheme="minorHAnsi" w:hAnsiTheme="minorHAnsi" w:cstheme="minorHAnsi"/>
          <w:b/>
          <w:sz w:val="20"/>
          <w:szCs w:val="20"/>
        </w:rPr>
        <w:t>Study Design</w:t>
      </w:r>
    </w:p>
    <w:p w14:paraId="35D49FC5" w14:textId="43E0AA44" w:rsidR="00E03F0F" w:rsidRPr="00C94A70" w:rsidRDefault="00E03F0F" w:rsidP="00903364">
      <w:pPr>
        <w:spacing w:after="0"/>
        <w:ind w:firstLine="720"/>
        <w:jc w:val="both"/>
        <w:rPr>
          <w:rFonts w:asciiTheme="minorHAnsi" w:hAnsiTheme="minorHAnsi" w:cstheme="minorHAnsi"/>
          <w:bCs/>
          <w:sz w:val="20"/>
          <w:szCs w:val="20"/>
        </w:rPr>
      </w:pPr>
      <w:r w:rsidRPr="00C94A70">
        <w:rPr>
          <w:rFonts w:asciiTheme="minorHAnsi" w:hAnsiTheme="minorHAnsi" w:cstheme="minorHAnsi"/>
          <w:bCs/>
          <w:sz w:val="20"/>
          <w:szCs w:val="20"/>
        </w:rPr>
        <w:t>T</w:t>
      </w:r>
      <w:r w:rsidR="00D76B9D" w:rsidRPr="00C94A70">
        <w:rPr>
          <w:rFonts w:asciiTheme="minorHAnsi" w:hAnsiTheme="minorHAnsi" w:cstheme="minorHAnsi"/>
          <w:bCs/>
          <w:sz w:val="20"/>
          <w:szCs w:val="20"/>
        </w:rPr>
        <w:t>his study employed a retrospective cross-sectional design conducted at a public general hospital in Bali. The study uses medical record data from all sepsis patients admitted to the intensive care unit (ICU) between January 2022 and December 2023. The design was selected to evaluate the association between bacterial resistance to first-line antibiotics and sepsis outcomes at the time of hospital discharge.</w:t>
      </w:r>
      <w:r w:rsidRPr="00C94A70">
        <w:rPr>
          <w:rFonts w:asciiTheme="minorHAnsi" w:hAnsiTheme="minorHAnsi" w:cstheme="minorHAnsi"/>
          <w:bCs/>
          <w:sz w:val="20"/>
          <w:szCs w:val="20"/>
        </w:rPr>
        <w:t xml:space="preserve"> The collected data </w:t>
      </w:r>
      <w:r w:rsidR="00C94A70" w:rsidRPr="00C94A70">
        <w:rPr>
          <w:rFonts w:asciiTheme="minorHAnsi" w:hAnsiTheme="minorHAnsi" w:cstheme="minorHAnsi"/>
          <w:bCs/>
          <w:sz w:val="20"/>
          <w:szCs w:val="20"/>
        </w:rPr>
        <w:t>includes</w:t>
      </w:r>
      <w:r w:rsidRPr="00C94A70">
        <w:rPr>
          <w:rFonts w:asciiTheme="minorHAnsi" w:hAnsiTheme="minorHAnsi" w:cstheme="minorHAnsi"/>
          <w:bCs/>
          <w:sz w:val="20"/>
          <w:szCs w:val="20"/>
        </w:rPr>
        <w:t xml:space="preserve"> patients' demographic characteristics, antibiotic types used in sepsis patients, treatment duration, bacterial cultures, including pathogens' sensitivity to sepsis first-line therapy, and treatment outcomes. </w:t>
      </w:r>
    </w:p>
    <w:p w14:paraId="672CA8B0" w14:textId="3B4B5F60" w:rsidR="00D76B9D" w:rsidRPr="00C94A70" w:rsidRDefault="00D76B9D" w:rsidP="00903364">
      <w:pPr>
        <w:spacing w:after="0"/>
        <w:jc w:val="both"/>
        <w:rPr>
          <w:rFonts w:asciiTheme="minorHAnsi" w:hAnsiTheme="minorHAnsi" w:cstheme="minorHAnsi"/>
          <w:b/>
          <w:sz w:val="20"/>
          <w:szCs w:val="20"/>
        </w:rPr>
      </w:pPr>
      <w:r w:rsidRPr="00C94A70">
        <w:rPr>
          <w:rFonts w:asciiTheme="minorHAnsi" w:hAnsiTheme="minorHAnsi" w:cstheme="minorHAnsi"/>
          <w:b/>
          <w:sz w:val="20"/>
          <w:szCs w:val="20"/>
        </w:rPr>
        <w:t>Setting</w:t>
      </w:r>
    </w:p>
    <w:p w14:paraId="4945AA92" w14:textId="3D784ADC" w:rsidR="00D76B9D" w:rsidRPr="00C94A70" w:rsidRDefault="00D76B9D" w:rsidP="00903364">
      <w:pPr>
        <w:tabs>
          <w:tab w:val="num" w:pos="720"/>
        </w:tabs>
        <w:spacing w:after="0"/>
        <w:ind w:firstLine="360"/>
        <w:jc w:val="both"/>
        <w:rPr>
          <w:rFonts w:asciiTheme="minorHAnsi" w:hAnsiTheme="minorHAnsi" w:cstheme="minorHAnsi"/>
          <w:bCs/>
          <w:sz w:val="20"/>
          <w:szCs w:val="20"/>
          <w:lang w:val="en-ID"/>
        </w:rPr>
      </w:pPr>
      <w:r w:rsidRPr="00C94A70">
        <w:rPr>
          <w:rFonts w:asciiTheme="minorHAnsi" w:hAnsiTheme="minorHAnsi" w:cstheme="minorHAnsi"/>
          <w:bCs/>
          <w:sz w:val="20"/>
          <w:szCs w:val="20"/>
        </w:rPr>
        <w:t xml:space="preserve">The study was conducted in the ICU of one of the public general </w:t>
      </w:r>
      <w:r w:rsidR="00C94A70" w:rsidRPr="00C94A70">
        <w:rPr>
          <w:rFonts w:asciiTheme="minorHAnsi" w:hAnsiTheme="minorHAnsi" w:cstheme="minorHAnsi"/>
          <w:bCs/>
          <w:sz w:val="20"/>
          <w:szCs w:val="20"/>
        </w:rPr>
        <w:t>hospitals</w:t>
      </w:r>
      <w:r w:rsidRPr="00C94A70">
        <w:rPr>
          <w:rFonts w:asciiTheme="minorHAnsi" w:hAnsiTheme="minorHAnsi" w:cstheme="minorHAnsi"/>
          <w:bCs/>
          <w:sz w:val="20"/>
          <w:szCs w:val="20"/>
        </w:rPr>
        <w:t xml:space="preserve"> in Bali. All data were obtained from the hospital’s medical records and microbiology laboratory databases. </w:t>
      </w:r>
      <w:r w:rsidRPr="00C94A70">
        <w:rPr>
          <w:rFonts w:asciiTheme="minorHAnsi" w:hAnsiTheme="minorHAnsi" w:cstheme="minorHAnsi"/>
          <w:bCs/>
          <w:sz w:val="20"/>
          <w:szCs w:val="20"/>
          <w:lang w:val="en-ID"/>
        </w:rPr>
        <w:t>The antibiotic susceptibility results were obtained from blood culture data, and the outcome assessment was determined by discharge status recorded at the end of hospitalisation.</w:t>
      </w:r>
    </w:p>
    <w:p w14:paraId="39022B19" w14:textId="62340132" w:rsidR="00E03F0F" w:rsidRPr="00C94A70" w:rsidRDefault="00D76B9D" w:rsidP="00903364">
      <w:pPr>
        <w:spacing w:after="0"/>
        <w:jc w:val="both"/>
        <w:rPr>
          <w:rFonts w:asciiTheme="minorHAnsi" w:hAnsiTheme="minorHAnsi" w:cstheme="minorHAnsi"/>
          <w:b/>
          <w:sz w:val="20"/>
          <w:szCs w:val="20"/>
        </w:rPr>
      </w:pPr>
      <w:r w:rsidRPr="00C94A70">
        <w:rPr>
          <w:rFonts w:asciiTheme="minorHAnsi" w:hAnsiTheme="minorHAnsi" w:cstheme="minorHAnsi"/>
          <w:b/>
          <w:sz w:val="20"/>
          <w:szCs w:val="20"/>
        </w:rPr>
        <w:t xml:space="preserve">Participants </w:t>
      </w:r>
    </w:p>
    <w:p w14:paraId="65858F09" w14:textId="0EFF6740" w:rsidR="00D76B9D" w:rsidRDefault="00D76B9D" w:rsidP="00903364">
      <w:pPr>
        <w:spacing w:after="0"/>
        <w:ind w:firstLine="720"/>
        <w:jc w:val="both"/>
        <w:rPr>
          <w:rFonts w:asciiTheme="minorHAnsi" w:hAnsiTheme="minorHAnsi" w:cstheme="minorHAnsi"/>
          <w:sz w:val="20"/>
          <w:szCs w:val="20"/>
        </w:rPr>
      </w:pPr>
      <w:r w:rsidRPr="00C94A70">
        <w:rPr>
          <w:rFonts w:asciiTheme="minorHAnsi" w:hAnsiTheme="minorHAnsi" w:cstheme="minorHAnsi"/>
          <w:sz w:val="20"/>
          <w:szCs w:val="20"/>
          <w:lang w:val="en-ID"/>
        </w:rPr>
        <w:t xml:space="preserve">Participants were selected using a total sampling approach. All adult patients (≥19 years) diagnosed with bacterial sepsis and admitted to the ICU during the study period were screened. Inclusion criteria were: </w:t>
      </w:r>
      <w:r w:rsidR="00BA7D5F">
        <w:rPr>
          <w:rFonts w:asciiTheme="minorHAnsi" w:hAnsiTheme="minorHAnsi" w:cstheme="minorHAnsi"/>
          <w:sz w:val="20"/>
          <w:szCs w:val="20"/>
          <w:lang w:val="en-ID"/>
        </w:rPr>
        <w:t xml:space="preserve">(1) </w:t>
      </w:r>
      <w:r w:rsidRPr="00C94A70">
        <w:rPr>
          <w:rFonts w:asciiTheme="minorHAnsi" w:hAnsiTheme="minorHAnsi" w:cstheme="minorHAnsi"/>
          <w:sz w:val="20"/>
          <w:szCs w:val="20"/>
          <w:lang w:val="en-ID"/>
        </w:rPr>
        <w:t xml:space="preserve">age ≥19 years; </w:t>
      </w:r>
      <w:r w:rsidR="00BA7D5F">
        <w:rPr>
          <w:rFonts w:asciiTheme="minorHAnsi" w:hAnsiTheme="minorHAnsi" w:cstheme="minorHAnsi"/>
          <w:sz w:val="20"/>
          <w:szCs w:val="20"/>
          <w:lang w:val="en-ID"/>
        </w:rPr>
        <w:t xml:space="preserve">(2) </w:t>
      </w:r>
      <w:r w:rsidRPr="00C94A70">
        <w:rPr>
          <w:rFonts w:asciiTheme="minorHAnsi" w:hAnsiTheme="minorHAnsi" w:cstheme="minorHAnsi"/>
          <w:sz w:val="20"/>
          <w:szCs w:val="20"/>
          <w:lang w:val="en-ID"/>
        </w:rPr>
        <w:t xml:space="preserve">diagnosis of bacterial sepsis supported by a SOFA </w:t>
      </w:r>
      <w:r w:rsidR="00D65513" w:rsidRPr="00C94A70">
        <w:rPr>
          <w:rFonts w:asciiTheme="minorHAnsi" w:hAnsiTheme="minorHAnsi" w:cstheme="minorHAnsi"/>
          <w:sz w:val="20"/>
          <w:szCs w:val="20"/>
          <w:lang w:val="en-ID"/>
        </w:rPr>
        <w:t>(</w:t>
      </w:r>
      <w:r w:rsidR="00D65513" w:rsidRPr="00C94A70">
        <w:rPr>
          <w:rFonts w:asciiTheme="minorHAnsi" w:hAnsiTheme="minorHAnsi" w:cstheme="minorHAnsi"/>
          <w:sz w:val="20"/>
          <w:szCs w:val="20"/>
        </w:rPr>
        <w:t xml:space="preserve">Sequential Organ Failure Assessment) </w:t>
      </w:r>
      <w:r w:rsidRPr="00C94A70">
        <w:rPr>
          <w:rFonts w:asciiTheme="minorHAnsi" w:hAnsiTheme="minorHAnsi" w:cstheme="minorHAnsi"/>
          <w:sz w:val="20"/>
          <w:szCs w:val="20"/>
          <w:lang w:val="en-ID"/>
        </w:rPr>
        <w:t xml:space="preserve">score ≥2; </w:t>
      </w:r>
      <w:r w:rsidR="00BA7D5F">
        <w:rPr>
          <w:rFonts w:asciiTheme="minorHAnsi" w:hAnsiTheme="minorHAnsi" w:cstheme="minorHAnsi"/>
          <w:sz w:val="20"/>
          <w:szCs w:val="20"/>
          <w:lang w:val="en-ID"/>
        </w:rPr>
        <w:t xml:space="preserve">(3) </w:t>
      </w:r>
      <w:r w:rsidRPr="00C94A70">
        <w:rPr>
          <w:rFonts w:asciiTheme="minorHAnsi" w:hAnsiTheme="minorHAnsi" w:cstheme="minorHAnsi"/>
          <w:sz w:val="20"/>
          <w:szCs w:val="20"/>
          <w:lang w:val="en-ID"/>
        </w:rPr>
        <w:t xml:space="preserve">Positive bacterial culture result; and </w:t>
      </w:r>
      <w:r w:rsidR="00BA7D5F">
        <w:rPr>
          <w:rFonts w:asciiTheme="minorHAnsi" w:hAnsiTheme="minorHAnsi" w:cstheme="minorHAnsi"/>
          <w:sz w:val="20"/>
          <w:szCs w:val="20"/>
          <w:lang w:val="en-ID"/>
        </w:rPr>
        <w:t xml:space="preserve">(4) </w:t>
      </w:r>
      <w:r w:rsidRPr="00C94A70">
        <w:rPr>
          <w:rFonts w:asciiTheme="minorHAnsi" w:hAnsiTheme="minorHAnsi" w:cstheme="minorHAnsi"/>
          <w:sz w:val="20"/>
          <w:szCs w:val="20"/>
          <w:lang w:val="en-ID"/>
        </w:rPr>
        <w:t xml:space="preserve">complete medical record data. Exclusion criteria were: </w:t>
      </w:r>
      <w:r w:rsidR="004B2E14">
        <w:rPr>
          <w:rFonts w:asciiTheme="minorHAnsi" w:hAnsiTheme="minorHAnsi" w:cstheme="minorHAnsi"/>
          <w:sz w:val="20"/>
          <w:szCs w:val="20"/>
          <w:lang w:val="en-ID"/>
        </w:rPr>
        <w:t xml:space="preserve">(1) </w:t>
      </w:r>
      <w:r w:rsidRPr="00C94A70">
        <w:rPr>
          <w:rFonts w:asciiTheme="minorHAnsi" w:hAnsiTheme="minorHAnsi" w:cstheme="minorHAnsi"/>
          <w:sz w:val="20"/>
          <w:szCs w:val="20"/>
          <w:lang w:val="en-ID"/>
        </w:rPr>
        <w:t xml:space="preserve">ICU stay; </w:t>
      </w:r>
      <w:r w:rsidR="004B2E14">
        <w:rPr>
          <w:rFonts w:asciiTheme="minorHAnsi" w:hAnsiTheme="minorHAnsi" w:cstheme="minorHAnsi"/>
          <w:sz w:val="20"/>
          <w:szCs w:val="20"/>
          <w:lang w:val="en-ID"/>
        </w:rPr>
        <w:t xml:space="preserve">(2) </w:t>
      </w:r>
      <w:r w:rsidRPr="00C94A70">
        <w:rPr>
          <w:rFonts w:asciiTheme="minorHAnsi" w:hAnsiTheme="minorHAnsi" w:cstheme="minorHAnsi"/>
          <w:sz w:val="20"/>
          <w:szCs w:val="20"/>
          <w:lang w:val="en-ID"/>
        </w:rPr>
        <w:t xml:space="preserve">transfer to another hospital; </w:t>
      </w:r>
      <w:r w:rsidR="004B2E14">
        <w:rPr>
          <w:rFonts w:asciiTheme="minorHAnsi" w:hAnsiTheme="minorHAnsi" w:cstheme="minorHAnsi"/>
          <w:sz w:val="20"/>
          <w:szCs w:val="20"/>
          <w:lang w:val="en-ID"/>
        </w:rPr>
        <w:t xml:space="preserve">(3) </w:t>
      </w:r>
      <w:r w:rsidRPr="00C94A70">
        <w:rPr>
          <w:rFonts w:asciiTheme="minorHAnsi" w:hAnsiTheme="minorHAnsi" w:cstheme="minorHAnsi"/>
          <w:sz w:val="20"/>
          <w:szCs w:val="20"/>
          <w:lang w:val="en-ID"/>
        </w:rPr>
        <w:t xml:space="preserve">pregnant or breastfeeding patients; and </w:t>
      </w:r>
      <w:r w:rsidR="004B2E14">
        <w:rPr>
          <w:rFonts w:asciiTheme="minorHAnsi" w:hAnsiTheme="minorHAnsi" w:cstheme="minorHAnsi"/>
          <w:sz w:val="20"/>
          <w:szCs w:val="20"/>
          <w:lang w:val="en-ID"/>
        </w:rPr>
        <w:t xml:space="preserve">(4) </w:t>
      </w:r>
      <w:r w:rsidRPr="00C94A70">
        <w:rPr>
          <w:rFonts w:asciiTheme="minorHAnsi" w:hAnsiTheme="minorHAnsi" w:cstheme="minorHAnsi"/>
          <w:sz w:val="20"/>
          <w:szCs w:val="20"/>
          <w:lang w:val="en-ID"/>
        </w:rPr>
        <w:t>patients with incomplete data/ missing key variables (culture results, antibiotic susceptibility, or outcome</w:t>
      </w:r>
      <w:r w:rsidR="00C94A70" w:rsidRPr="00C94A70">
        <w:rPr>
          <w:rFonts w:asciiTheme="minorHAnsi" w:hAnsiTheme="minorHAnsi" w:cstheme="minorHAnsi"/>
          <w:sz w:val="20"/>
          <w:szCs w:val="20"/>
          <w:lang w:val="en-ID"/>
        </w:rPr>
        <w:t>).</w:t>
      </w:r>
      <w:r w:rsidR="00C94A70" w:rsidRPr="00C94A70">
        <w:rPr>
          <w:rFonts w:asciiTheme="minorHAnsi" w:hAnsiTheme="minorHAnsi" w:cstheme="minorHAnsi"/>
          <w:sz w:val="20"/>
          <w:szCs w:val="20"/>
        </w:rPr>
        <w:t xml:space="preserve"> The</w:t>
      </w:r>
      <w:r w:rsidR="00571C9B" w:rsidRPr="00C94A70">
        <w:rPr>
          <w:rFonts w:asciiTheme="minorHAnsi" w:hAnsiTheme="minorHAnsi" w:cstheme="minorHAnsi"/>
          <w:sz w:val="20"/>
          <w:szCs w:val="20"/>
        </w:rPr>
        <w:t xml:space="preserve"> study size was determined by the total number of eligible </w:t>
      </w:r>
      <w:r w:rsidR="00571C9B" w:rsidRPr="00C94A70">
        <w:rPr>
          <w:rFonts w:asciiTheme="minorHAnsi" w:hAnsiTheme="minorHAnsi" w:cstheme="minorHAnsi"/>
          <w:sz w:val="20"/>
          <w:szCs w:val="20"/>
        </w:rPr>
        <w:lastRenderedPageBreak/>
        <w:t>sepsis cases during the study period. No sample size calculation was performed because the study used all available cases.</w:t>
      </w:r>
    </w:p>
    <w:p w14:paraId="0F73FA62" w14:textId="392341C0" w:rsidR="00D76B9D" w:rsidRPr="00C94A70" w:rsidRDefault="00D76B9D" w:rsidP="00903364">
      <w:pPr>
        <w:spacing w:after="0"/>
        <w:jc w:val="both"/>
        <w:rPr>
          <w:rFonts w:asciiTheme="minorHAnsi" w:hAnsiTheme="minorHAnsi" w:cstheme="minorHAnsi"/>
          <w:b/>
          <w:sz w:val="20"/>
          <w:szCs w:val="20"/>
        </w:rPr>
      </w:pPr>
      <w:r w:rsidRPr="00C94A70">
        <w:rPr>
          <w:rFonts w:asciiTheme="minorHAnsi" w:hAnsiTheme="minorHAnsi" w:cstheme="minorHAnsi"/>
          <w:b/>
          <w:sz w:val="20"/>
          <w:szCs w:val="20"/>
        </w:rPr>
        <w:t>Variables</w:t>
      </w:r>
    </w:p>
    <w:p w14:paraId="18C95FF9" w14:textId="19061089" w:rsidR="0097167C" w:rsidRPr="00C94A70" w:rsidRDefault="00D76B9D" w:rsidP="00903364">
      <w:pPr>
        <w:spacing w:after="0"/>
        <w:ind w:firstLine="851"/>
        <w:jc w:val="both"/>
        <w:rPr>
          <w:rFonts w:asciiTheme="minorHAnsi" w:hAnsiTheme="minorHAnsi" w:cstheme="minorHAnsi"/>
          <w:bCs/>
          <w:sz w:val="20"/>
          <w:szCs w:val="20"/>
          <w:lang w:val="en-ID"/>
        </w:rPr>
      </w:pPr>
      <w:r w:rsidRPr="00C94A70">
        <w:rPr>
          <w:rFonts w:asciiTheme="minorHAnsi" w:hAnsiTheme="minorHAnsi" w:cstheme="minorHAnsi"/>
          <w:sz w:val="20"/>
          <w:szCs w:val="20"/>
          <w:lang w:val="en-ID"/>
        </w:rPr>
        <w:t>Sepsis outcomes were</w:t>
      </w:r>
      <w:r w:rsidRPr="00C94A70">
        <w:rPr>
          <w:rFonts w:asciiTheme="minorHAnsi" w:hAnsiTheme="minorHAnsi" w:cstheme="minorHAnsi"/>
          <w:bCs/>
          <w:sz w:val="20"/>
          <w:szCs w:val="20"/>
          <w:lang w:val="en-ID"/>
        </w:rPr>
        <w:t xml:space="preserve"> classified as </w:t>
      </w:r>
      <w:r w:rsidRPr="00C94A70">
        <w:rPr>
          <w:rFonts w:asciiTheme="minorHAnsi" w:hAnsiTheme="minorHAnsi" w:cstheme="minorHAnsi"/>
          <w:bCs/>
          <w:i/>
          <w:iCs/>
          <w:sz w:val="20"/>
          <w:szCs w:val="20"/>
          <w:lang w:val="en-ID"/>
        </w:rPr>
        <w:t>improved</w:t>
      </w:r>
      <w:r w:rsidRPr="00C94A70">
        <w:rPr>
          <w:rFonts w:asciiTheme="minorHAnsi" w:hAnsiTheme="minorHAnsi" w:cstheme="minorHAnsi"/>
          <w:bCs/>
          <w:sz w:val="20"/>
          <w:szCs w:val="20"/>
          <w:lang w:val="en-ID"/>
        </w:rPr>
        <w:t xml:space="preserve"> (discharged alive) or </w:t>
      </w:r>
      <w:r w:rsidRPr="00C94A70">
        <w:rPr>
          <w:rFonts w:asciiTheme="minorHAnsi" w:hAnsiTheme="minorHAnsi" w:cstheme="minorHAnsi"/>
          <w:bCs/>
          <w:i/>
          <w:iCs/>
          <w:sz w:val="20"/>
          <w:szCs w:val="20"/>
          <w:lang w:val="en-ID"/>
        </w:rPr>
        <w:t>unimproved</w:t>
      </w:r>
      <w:r w:rsidRPr="00C94A70">
        <w:rPr>
          <w:rFonts w:asciiTheme="minorHAnsi" w:hAnsiTheme="minorHAnsi" w:cstheme="minorHAnsi"/>
          <w:bCs/>
          <w:sz w:val="20"/>
          <w:szCs w:val="20"/>
          <w:lang w:val="en-ID"/>
        </w:rPr>
        <w:t xml:space="preserve"> (deceased). This binary outcome reflects the final clinical status at discharge and is commonly used in sepsis outcome research. </w:t>
      </w:r>
      <w:r w:rsidRPr="00C94A70">
        <w:rPr>
          <w:rFonts w:asciiTheme="minorHAnsi" w:hAnsiTheme="minorHAnsi" w:cstheme="minorHAnsi"/>
          <w:sz w:val="20"/>
          <w:szCs w:val="20"/>
          <w:lang w:val="en-ID"/>
        </w:rPr>
        <w:t>Bacterial resistance to first-line antibiotics,</w:t>
      </w:r>
      <w:r w:rsidRPr="00C94A70">
        <w:rPr>
          <w:rFonts w:asciiTheme="minorHAnsi" w:hAnsiTheme="minorHAnsi" w:cstheme="minorHAnsi"/>
          <w:bCs/>
          <w:sz w:val="20"/>
          <w:szCs w:val="20"/>
          <w:lang w:val="en-ID"/>
        </w:rPr>
        <w:t xml:space="preserve"> </w:t>
      </w:r>
      <w:r w:rsidR="0097167C" w:rsidRPr="00C94A70">
        <w:rPr>
          <w:rFonts w:asciiTheme="minorHAnsi" w:hAnsiTheme="minorHAnsi" w:cstheme="minorHAnsi"/>
          <w:bCs/>
          <w:sz w:val="20"/>
          <w:szCs w:val="20"/>
          <w:lang w:val="en-ID"/>
        </w:rPr>
        <w:t>categorised</w:t>
      </w:r>
      <w:r w:rsidRPr="00C94A70">
        <w:rPr>
          <w:rFonts w:asciiTheme="minorHAnsi" w:hAnsiTheme="minorHAnsi" w:cstheme="minorHAnsi"/>
          <w:bCs/>
          <w:sz w:val="20"/>
          <w:szCs w:val="20"/>
          <w:lang w:val="en-ID"/>
        </w:rPr>
        <w:t xml:space="preserve"> as </w:t>
      </w:r>
      <w:r w:rsidR="0097167C" w:rsidRPr="00C94A70">
        <w:rPr>
          <w:rFonts w:asciiTheme="minorHAnsi" w:hAnsiTheme="minorHAnsi" w:cstheme="minorHAnsi"/>
          <w:bCs/>
          <w:sz w:val="20"/>
          <w:szCs w:val="20"/>
          <w:lang w:val="en-ID"/>
        </w:rPr>
        <w:t>s</w:t>
      </w:r>
      <w:r w:rsidRPr="00C94A70">
        <w:rPr>
          <w:rFonts w:asciiTheme="minorHAnsi" w:hAnsiTheme="minorHAnsi" w:cstheme="minorHAnsi"/>
          <w:bCs/>
          <w:sz w:val="20"/>
          <w:szCs w:val="20"/>
          <w:lang w:val="en-ID"/>
        </w:rPr>
        <w:t>ensitive</w:t>
      </w:r>
      <w:r w:rsidR="0097167C" w:rsidRPr="00C94A70">
        <w:rPr>
          <w:rFonts w:asciiTheme="minorHAnsi" w:hAnsiTheme="minorHAnsi" w:cstheme="minorHAnsi"/>
          <w:bCs/>
          <w:sz w:val="20"/>
          <w:szCs w:val="20"/>
          <w:lang w:val="en-ID"/>
        </w:rPr>
        <w:t>, r</w:t>
      </w:r>
      <w:r w:rsidRPr="00C94A70">
        <w:rPr>
          <w:rFonts w:asciiTheme="minorHAnsi" w:hAnsiTheme="minorHAnsi" w:cstheme="minorHAnsi"/>
          <w:bCs/>
          <w:sz w:val="20"/>
          <w:szCs w:val="20"/>
          <w:lang w:val="en-ID"/>
        </w:rPr>
        <w:t>esistant</w:t>
      </w:r>
      <w:r w:rsidR="0097167C" w:rsidRPr="00C94A70">
        <w:rPr>
          <w:rFonts w:asciiTheme="minorHAnsi" w:hAnsiTheme="minorHAnsi" w:cstheme="minorHAnsi"/>
          <w:bCs/>
          <w:sz w:val="20"/>
          <w:szCs w:val="20"/>
          <w:lang w:val="en-ID"/>
        </w:rPr>
        <w:t xml:space="preserve"> or </w:t>
      </w:r>
      <w:r w:rsidRPr="00C94A70">
        <w:rPr>
          <w:rFonts w:asciiTheme="minorHAnsi" w:hAnsiTheme="minorHAnsi" w:cstheme="minorHAnsi"/>
          <w:bCs/>
          <w:sz w:val="20"/>
          <w:szCs w:val="20"/>
          <w:lang w:val="en-ID"/>
        </w:rPr>
        <w:t>Unknown (no susceptibility test available or incomplete antibiogram)</w:t>
      </w:r>
      <w:r w:rsidR="00571C9B" w:rsidRPr="00C94A70">
        <w:rPr>
          <w:rFonts w:asciiTheme="minorHAnsi" w:hAnsiTheme="minorHAnsi" w:cstheme="minorHAnsi"/>
          <w:bCs/>
          <w:sz w:val="20"/>
          <w:szCs w:val="20"/>
          <w:lang w:val="en-ID"/>
        </w:rPr>
        <w:t xml:space="preserve">. </w:t>
      </w:r>
      <w:r w:rsidR="0097167C" w:rsidRPr="00C94A70">
        <w:rPr>
          <w:rFonts w:asciiTheme="minorHAnsi" w:hAnsiTheme="minorHAnsi" w:cstheme="minorHAnsi"/>
          <w:bCs/>
          <w:sz w:val="20"/>
          <w:szCs w:val="20"/>
          <w:lang w:val="en-ID"/>
        </w:rPr>
        <w:t>The first-line sepsis a</w:t>
      </w:r>
      <w:r w:rsidRPr="00C94A70">
        <w:rPr>
          <w:rFonts w:asciiTheme="minorHAnsi" w:hAnsiTheme="minorHAnsi" w:cstheme="minorHAnsi"/>
          <w:bCs/>
          <w:sz w:val="20"/>
          <w:szCs w:val="20"/>
          <w:lang w:val="en-ID"/>
        </w:rPr>
        <w:t>ntibiotics evaluated included fluoroquinolones, third- and fourth-generation cephalosporins, piperacillin–tazobactam, and vancomycin.</w:t>
      </w:r>
      <w:r w:rsidR="0097167C" w:rsidRPr="00C94A70">
        <w:rPr>
          <w:rFonts w:asciiTheme="minorHAnsi" w:hAnsiTheme="minorHAnsi" w:cstheme="minorHAnsi"/>
          <w:bCs/>
          <w:sz w:val="20"/>
          <w:szCs w:val="20"/>
          <w:lang w:val="en-ID"/>
        </w:rPr>
        <w:t xml:space="preserve"> </w:t>
      </w:r>
      <w:r w:rsidR="0097167C" w:rsidRPr="00C94A70">
        <w:rPr>
          <w:rFonts w:asciiTheme="minorHAnsi" w:hAnsiTheme="minorHAnsi" w:cstheme="minorHAnsi"/>
          <w:sz w:val="20"/>
          <w:szCs w:val="20"/>
          <w:lang w:val="en-ID"/>
        </w:rPr>
        <w:t>Other Variables observed were: demographics data (age group, sex); clinical variables (type of antibiotic therapy (monotherapy, combination, sequential)); microbiological variables</w:t>
      </w:r>
      <w:r w:rsidR="0097167C" w:rsidRPr="00C94A70">
        <w:rPr>
          <w:rFonts w:asciiTheme="minorHAnsi" w:hAnsiTheme="minorHAnsi" w:cstheme="minorHAnsi"/>
          <w:bCs/>
          <w:sz w:val="20"/>
          <w:szCs w:val="20"/>
          <w:lang w:val="en-ID"/>
        </w:rPr>
        <w:t xml:space="preserve"> (bacterial species isolated from blood culture). Potential confounders such as comorbidities, infection source, and SOFA score dynamics were not included due to incomplete documentation in the retrospective dataset.</w:t>
      </w:r>
    </w:p>
    <w:p w14:paraId="4C0399FC" w14:textId="0175636D" w:rsidR="00E95E53" w:rsidRPr="00C94A70" w:rsidRDefault="00E95E53" w:rsidP="00903364">
      <w:pPr>
        <w:spacing w:after="0"/>
        <w:jc w:val="both"/>
        <w:rPr>
          <w:rFonts w:asciiTheme="minorHAnsi" w:hAnsiTheme="minorHAnsi" w:cstheme="minorHAnsi"/>
          <w:b/>
          <w:sz w:val="20"/>
          <w:szCs w:val="20"/>
        </w:rPr>
      </w:pPr>
      <w:r w:rsidRPr="00C94A70">
        <w:rPr>
          <w:rFonts w:asciiTheme="minorHAnsi" w:hAnsiTheme="minorHAnsi" w:cstheme="minorHAnsi"/>
          <w:b/>
          <w:sz w:val="20"/>
          <w:szCs w:val="20"/>
        </w:rPr>
        <w:t>Research Procedure</w:t>
      </w:r>
    </w:p>
    <w:p w14:paraId="53A105E0" w14:textId="1D619BA4" w:rsidR="00D51450" w:rsidRPr="00C94A70" w:rsidRDefault="00D51450" w:rsidP="00903364">
      <w:pPr>
        <w:spacing w:after="0"/>
        <w:jc w:val="both"/>
        <w:rPr>
          <w:rFonts w:asciiTheme="minorHAnsi" w:hAnsiTheme="minorHAnsi" w:cstheme="minorHAnsi"/>
          <w:sz w:val="20"/>
          <w:szCs w:val="20"/>
          <w:lang w:val="en-ID"/>
        </w:rPr>
      </w:pPr>
      <w:r w:rsidRPr="00C94A70">
        <w:rPr>
          <w:rFonts w:asciiTheme="minorHAnsi" w:hAnsiTheme="minorHAnsi" w:cstheme="minorHAnsi"/>
          <w:sz w:val="20"/>
          <w:szCs w:val="20"/>
          <w:lang w:val="en-ID"/>
        </w:rPr>
        <w:tab/>
      </w:r>
      <w:r w:rsidRPr="00C94A70">
        <w:rPr>
          <w:rFonts w:asciiTheme="minorHAnsi" w:hAnsiTheme="minorHAnsi" w:cstheme="minorHAnsi"/>
          <w:sz w:val="20"/>
          <w:szCs w:val="20"/>
        </w:rPr>
        <w:t xml:space="preserve">The research followed a systematic workflow, starting with securing institutional research permission and ethical approval to ensure ethical compliance. Once approved, data were collected from the medical records department, where patient records fitting the study's timeframe and diagnostic criteria were accessed. All cases were then screened based on predefined inclusion and exclusion criteria to select eligible participants. Relevant variables—including demographic details, microbiological results, antibiotic susceptibility patterns, and clinical outcomes—were carefully extracted using a </w:t>
      </w:r>
      <w:r w:rsidR="00BA3E25" w:rsidRPr="00C94A70">
        <w:rPr>
          <w:rFonts w:asciiTheme="minorHAnsi" w:hAnsiTheme="minorHAnsi" w:cstheme="minorHAnsi"/>
          <w:sz w:val="20"/>
          <w:szCs w:val="20"/>
        </w:rPr>
        <w:t>standardized</w:t>
      </w:r>
      <w:r w:rsidRPr="00C94A70">
        <w:rPr>
          <w:rFonts w:asciiTheme="minorHAnsi" w:hAnsiTheme="minorHAnsi" w:cstheme="minorHAnsi"/>
          <w:sz w:val="20"/>
          <w:szCs w:val="20"/>
        </w:rPr>
        <w:t xml:space="preserve"> form. The assembled dataset was then </w:t>
      </w:r>
      <w:r w:rsidR="00BA3E25" w:rsidRPr="00C94A70">
        <w:rPr>
          <w:rFonts w:asciiTheme="minorHAnsi" w:hAnsiTheme="minorHAnsi" w:cstheme="minorHAnsi"/>
          <w:sz w:val="20"/>
          <w:szCs w:val="20"/>
        </w:rPr>
        <w:t>analyzed</w:t>
      </w:r>
      <w:r w:rsidRPr="00C94A70">
        <w:rPr>
          <w:rFonts w:asciiTheme="minorHAnsi" w:hAnsiTheme="minorHAnsi" w:cstheme="minorHAnsi"/>
          <w:sz w:val="20"/>
          <w:szCs w:val="20"/>
        </w:rPr>
        <w:t xml:space="preserve"> with suitable statistical techniques to examine the relationship between bacterial resistance and sepsis outcomes. In the end, the results were compiled and reported following scientific standards to </w:t>
      </w:r>
      <w:r w:rsidR="00BA3E25" w:rsidRPr="00C94A70">
        <w:rPr>
          <w:rFonts w:asciiTheme="minorHAnsi" w:hAnsiTheme="minorHAnsi" w:cstheme="minorHAnsi"/>
          <w:sz w:val="20"/>
          <w:szCs w:val="20"/>
        </w:rPr>
        <w:t>emphasize</w:t>
      </w:r>
      <w:r w:rsidRPr="00C94A70">
        <w:rPr>
          <w:rFonts w:asciiTheme="minorHAnsi" w:hAnsiTheme="minorHAnsi" w:cstheme="minorHAnsi"/>
          <w:sz w:val="20"/>
          <w:szCs w:val="20"/>
        </w:rPr>
        <w:t xml:space="preserve"> their clinical relevance.</w:t>
      </w:r>
    </w:p>
    <w:p w14:paraId="5BA79102" w14:textId="77777777" w:rsidR="00571C9B" w:rsidRPr="00C94A70" w:rsidRDefault="00571C9B" w:rsidP="00903364">
      <w:pPr>
        <w:spacing w:after="0"/>
        <w:jc w:val="both"/>
        <w:rPr>
          <w:rFonts w:asciiTheme="minorHAnsi" w:hAnsiTheme="minorHAnsi" w:cstheme="minorHAnsi"/>
          <w:b/>
          <w:sz w:val="20"/>
          <w:szCs w:val="20"/>
          <w:lang w:val="en-ID"/>
        </w:rPr>
      </w:pPr>
      <w:r w:rsidRPr="00C94A70">
        <w:rPr>
          <w:rFonts w:asciiTheme="minorHAnsi" w:hAnsiTheme="minorHAnsi" w:cstheme="minorHAnsi"/>
          <w:b/>
          <w:bCs/>
          <w:sz w:val="20"/>
          <w:szCs w:val="20"/>
          <w:lang w:val="en-ID"/>
        </w:rPr>
        <w:t>Data Sources and Measurement</w:t>
      </w:r>
    </w:p>
    <w:p w14:paraId="3A05A89C" w14:textId="6B7C050A" w:rsidR="00571C9B" w:rsidRPr="00C94A70" w:rsidRDefault="00571C9B" w:rsidP="00903364">
      <w:pPr>
        <w:tabs>
          <w:tab w:val="num" w:pos="720"/>
        </w:tabs>
        <w:spacing w:after="0"/>
        <w:jc w:val="both"/>
        <w:rPr>
          <w:rFonts w:asciiTheme="minorHAnsi" w:hAnsiTheme="minorHAnsi" w:cstheme="minorHAnsi"/>
          <w:b/>
          <w:sz w:val="20"/>
          <w:szCs w:val="20"/>
          <w:lang w:val="en-ID"/>
        </w:rPr>
      </w:pPr>
      <w:r w:rsidRPr="00C94A70">
        <w:rPr>
          <w:rFonts w:asciiTheme="minorHAnsi" w:hAnsiTheme="minorHAnsi" w:cstheme="minorHAnsi"/>
          <w:bCs/>
          <w:sz w:val="20"/>
          <w:szCs w:val="20"/>
          <w:lang w:val="en-ID"/>
        </w:rPr>
        <w:tab/>
        <w:t>All variables were extracted from the hospital’s electronic and paper-based medical records. Antibiotic susceptibility was obtained from microbiology laboratory reports using standard disc diffusion or automated systems following CLSI guidelines. Outcome data were taken from discharge summaries. Demographic and clinical data were extracted from admission notes and treatment records. All data were extracted using a standardised data collection form to ensure consistency. Because all participants were from a single ICU, measurement methods were comparable across the entire cohort</w:t>
      </w:r>
      <w:r w:rsidRPr="00C94A70">
        <w:rPr>
          <w:rFonts w:asciiTheme="minorHAnsi" w:hAnsiTheme="minorHAnsi" w:cstheme="minorHAnsi"/>
          <w:b/>
          <w:sz w:val="20"/>
          <w:szCs w:val="20"/>
          <w:lang w:val="en-ID"/>
        </w:rPr>
        <w:t>.</w:t>
      </w:r>
    </w:p>
    <w:p w14:paraId="3DC6D7FF" w14:textId="432FFD36" w:rsidR="00571C9B" w:rsidRPr="00C94A70" w:rsidRDefault="00571C9B" w:rsidP="00903364">
      <w:pPr>
        <w:tabs>
          <w:tab w:val="num" w:pos="720"/>
        </w:tabs>
        <w:spacing w:after="0"/>
        <w:jc w:val="both"/>
        <w:rPr>
          <w:rFonts w:asciiTheme="minorHAnsi" w:hAnsiTheme="minorHAnsi" w:cstheme="minorHAnsi"/>
          <w:bCs/>
          <w:sz w:val="20"/>
          <w:szCs w:val="20"/>
          <w:lang w:val="en-ID"/>
        </w:rPr>
      </w:pPr>
      <w:r w:rsidRPr="00C94A70">
        <w:rPr>
          <w:rFonts w:asciiTheme="minorHAnsi" w:hAnsiTheme="minorHAnsi" w:cstheme="minorHAnsi"/>
          <w:bCs/>
          <w:sz w:val="20"/>
          <w:szCs w:val="20"/>
          <w:lang w:val="en-ID"/>
        </w:rPr>
        <w:tab/>
        <w:t>Several steps were taken to minimize bias were: selection bias was reduced by including all eligible patients during the study period (total sampling); information bias was minimized by using laboratory-confirmed culture and susceptibility results; misclassification bias may have occurred due to the presence of “unknown” susceptibility categories; these were retained as a separate category to avoid data loss. Confounding could not be fully addressed due to the limited availability of clinical covariates in the retrospective dataset.</w:t>
      </w:r>
    </w:p>
    <w:p w14:paraId="576853D9" w14:textId="26EAB292" w:rsidR="00E03F0F" w:rsidRPr="00C94A70" w:rsidRDefault="00E03F0F" w:rsidP="00903364">
      <w:pPr>
        <w:spacing w:after="0"/>
        <w:jc w:val="both"/>
        <w:rPr>
          <w:rFonts w:asciiTheme="minorHAnsi" w:hAnsiTheme="minorHAnsi" w:cstheme="minorHAnsi"/>
          <w:b/>
          <w:sz w:val="20"/>
          <w:szCs w:val="20"/>
        </w:rPr>
      </w:pPr>
      <w:r w:rsidRPr="00C94A70">
        <w:rPr>
          <w:rFonts w:asciiTheme="minorHAnsi" w:hAnsiTheme="minorHAnsi" w:cstheme="minorHAnsi"/>
          <w:b/>
          <w:sz w:val="20"/>
          <w:szCs w:val="20"/>
        </w:rPr>
        <w:t>Data Analysis</w:t>
      </w:r>
    </w:p>
    <w:p w14:paraId="58657F27" w14:textId="585FFACA" w:rsidR="00E03F0F" w:rsidRPr="00C94A70" w:rsidRDefault="00E03F0F" w:rsidP="00903364">
      <w:pPr>
        <w:tabs>
          <w:tab w:val="num" w:pos="720"/>
        </w:tabs>
        <w:spacing w:after="0"/>
        <w:ind w:firstLine="720"/>
        <w:jc w:val="both"/>
        <w:rPr>
          <w:rFonts w:asciiTheme="minorHAnsi" w:hAnsiTheme="minorHAnsi" w:cstheme="minorHAnsi"/>
          <w:sz w:val="20"/>
          <w:szCs w:val="20"/>
        </w:rPr>
      </w:pPr>
      <w:r w:rsidRPr="00C94A70">
        <w:rPr>
          <w:rFonts w:asciiTheme="minorHAnsi" w:hAnsiTheme="minorHAnsi" w:cstheme="minorHAnsi"/>
          <w:sz w:val="20"/>
          <w:szCs w:val="20"/>
        </w:rPr>
        <w:t xml:space="preserve">The patients' demographic characteristics are presented in the descriptive table. The </w:t>
      </w:r>
      <w:r w:rsidR="00571C9B" w:rsidRPr="00C94A70">
        <w:rPr>
          <w:rFonts w:asciiTheme="minorHAnsi" w:hAnsiTheme="minorHAnsi" w:cstheme="minorHAnsi"/>
          <w:sz w:val="20"/>
          <w:szCs w:val="20"/>
        </w:rPr>
        <w:t>association</w:t>
      </w:r>
      <w:r w:rsidRPr="00C94A70">
        <w:rPr>
          <w:rFonts w:asciiTheme="minorHAnsi" w:hAnsiTheme="minorHAnsi" w:cstheme="minorHAnsi"/>
          <w:sz w:val="20"/>
          <w:szCs w:val="20"/>
        </w:rPr>
        <w:t xml:space="preserve"> between the resistance of sepsis-inducing bacteria to first-line antibiotics and the outcome of sepsis treatment was assessed using the Gamma correlation</w:t>
      </w:r>
      <w:r w:rsidR="0097167C" w:rsidRPr="00C94A70">
        <w:rPr>
          <w:rFonts w:asciiTheme="minorHAnsi" w:hAnsiTheme="minorHAnsi" w:cstheme="minorHAnsi"/>
          <w:sz w:val="20"/>
          <w:szCs w:val="20"/>
        </w:rPr>
        <w:t xml:space="preserve">. </w:t>
      </w:r>
      <w:r w:rsidR="0097167C" w:rsidRPr="00C94A70">
        <w:rPr>
          <w:rFonts w:asciiTheme="minorHAnsi" w:hAnsiTheme="minorHAnsi" w:cstheme="minorHAnsi"/>
          <w:sz w:val="20"/>
          <w:szCs w:val="20"/>
          <w:lang w:val="en-ID"/>
        </w:rPr>
        <w:t xml:space="preserve">The association between bacterial resistance and sepsis outcomes was analysed using the Gamma correlation coefficient, </w:t>
      </w:r>
      <w:r w:rsidR="00571C9B" w:rsidRPr="00C94A70">
        <w:rPr>
          <w:rFonts w:asciiTheme="minorHAnsi" w:hAnsiTheme="minorHAnsi" w:cstheme="minorHAnsi"/>
          <w:sz w:val="20"/>
          <w:szCs w:val="20"/>
          <w:lang w:val="en-ID"/>
        </w:rPr>
        <w:t>as both exposure and outcome variables were ordinal, with asymmetric distributions of categories</w:t>
      </w:r>
      <w:r w:rsidR="0097167C" w:rsidRPr="00C94A70">
        <w:rPr>
          <w:rFonts w:asciiTheme="minorHAnsi" w:hAnsiTheme="minorHAnsi" w:cstheme="minorHAnsi"/>
          <w:sz w:val="20"/>
          <w:szCs w:val="20"/>
          <w:lang w:val="en-ID"/>
        </w:rPr>
        <w:t>, and Gamma is appropriate for assessing directional associations in ordinal data. No subgroup or interaction analyses were performed due to the limited sample size.  Missing susceptibility data were handled by retaining “unknown” as a separate analytical category. Sensitivity analyses were not conducted due to the small sample size and limited availability of covariates. All analyses were performed using standard statistical software, and significance was set at p &lt; 0.05.</w:t>
      </w:r>
      <w:r w:rsidR="0097167C" w:rsidRPr="00C94A70">
        <w:rPr>
          <w:rFonts w:asciiTheme="minorHAnsi" w:hAnsiTheme="minorHAnsi" w:cstheme="minorHAnsi"/>
          <w:sz w:val="20"/>
          <w:szCs w:val="20"/>
        </w:rPr>
        <w:t xml:space="preserve">    </w:t>
      </w:r>
      <w:r w:rsidRPr="00C94A70">
        <w:rPr>
          <w:rFonts w:asciiTheme="minorHAnsi" w:hAnsiTheme="minorHAnsi" w:cstheme="minorHAnsi"/>
          <w:sz w:val="20"/>
          <w:szCs w:val="20"/>
        </w:rPr>
        <w:t xml:space="preserve"> </w:t>
      </w:r>
    </w:p>
    <w:p w14:paraId="48CBD468" w14:textId="77777777" w:rsidR="00E03F0F" w:rsidRPr="00C94A70" w:rsidRDefault="00E03F0F" w:rsidP="00903364">
      <w:pPr>
        <w:spacing w:after="0"/>
        <w:jc w:val="both"/>
        <w:rPr>
          <w:rFonts w:asciiTheme="minorHAnsi" w:hAnsiTheme="minorHAnsi" w:cstheme="minorHAnsi"/>
          <w:b/>
          <w:sz w:val="20"/>
          <w:szCs w:val="20"/>
        </w:rPr>
      </w:pPr>
      <w:r w:rsidRPr="00C94A70">
        <w:rPr>
          <w:rFonts w:asciiTheme="minorHAnsi" w:hAnsiTheme="minorHAnsi" w:cstheme="minorHAnsi"/>
          <w:b/>
          <w:sz w:val="20"/>
          <w:szCs w:val="20"/>
        </w:rPr>
        <w:t>Ethical consideration</w:t>
      </w:r>
    </w:p>
    <w:p w14:paraId="4EA0806F" w14:textId="77777777" w:rsidR="00E03F0F" w:rsidRPr="00C94A70" w:rsidRDefault="00E03F0F" w:rsidP="00903364">
      <w:pPr>
        <w:spacing w:after="0"/>
        <w:ind w:firstLine="720"/>
        <w:jc w:val="both"/>
        <w:rPr>
          <w:rFonts w:asciiTheme="minorHAnsi" w:hAnsiTheme="minorHAnsi" w:cstheme="minorHAnsi"/>
          <w:sz w:val="20"/>
          <w:szCs w:val="20"/>
          <w:lang w:val="en-ID"/>
        </w:rPr>
      </w:pPr>
      <w:r w:rsidRPr="00C94A70">
        <w:rPr>
          <w:rFonts w:asciiTheme="minorHAnsi" w:hAnsiTheme="minorHAnsi" w:cstheme="minorHAnsi"/>
          <w:sz w:val="20"/>
          <w:szCs w:val="20"/>
          <w:lang w:val="en-ID"/>
        </w:rPr>
        <w:t>This research was approved by the Institutional Review Board (IRB) of RSUD Sanjiwani (Approval No. 02/PEPK/1/2025). All procedures adhered to the ethical principles outlined in the World Medical Association’s Declaration of Helsinki for studies involving human participants. All collected data will remain strictly confidential.</w:t>
      </w:r>
    </w:p>
    <w:p w14:paraId="402FA6D3" w14:textId="69BA0848" w:rsidR="00852D18" w:rsidRPr="00C94A70" w:rsidRDefault="00852D18" w:rsidP="00903364">
      <w:pPr>
        <w:spacing w:after="0"/>
        <w:jc w:val="both"/>
        <w:rPr>
          <w:rFonts w:asciiTheme="minorHAnsi" w:hAnsiTheme="minorHAnsi" w:cstheme="minorHAnsi"/>
          <w:sz w:val="20"/>
          <w:szCs w:val="20"/>
        </w:rPr>
      </w:pPr>
    </w:p>
    <w:p w14:paraId="7BBAFC9A" w14:textId="1F6EE635" w:rsidR="006C664D" w:rsidRPr="00C94A70" w:rsidRDefault="00E42DDD" w:rsidP="00903364">
      <w:pPr>
        <w:spacing w:after="0"/>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t>RESULT AND DISCUSSION</w:t>
      </w:r>
      <w:r w:rsidR="00736505" w:rsidRPr="00C94A70">
        <w:rPr>
          <w:rFonts w:asciiTheme="minorHAnsi" w:hAnsiTheme="minorHAnsi" w:cstheme="minorHAnsi"/>
          <w:b/>
          <w:color w:val="2E74B5" w:themeColor="accent5" w:themeShade="BF"/>
          <w:spacing w:val="20"/>
          <w:sz w:val="24"/>
          <w:szCs w:val="24"/>
        </w:rPr>
        <w:t xml:space="preserve"> </w:t>
      </w:r>
    </w:p>
    <w:p w14:paraId="29C8DC14" w14:textId="2FA56C3A" w:rsidR="00E523C5" w:rsidRPr="00C94A70" w:rsidRDefault="00E523C5" w:rsidP="00AE58A6">
      <w:pPr>
        <w:spacing w:after="60"/>
        <w:ind w:firstLine="720"/>
        <w:jc w:val="both"/>
        <w:rPr>
          <w:rFonts w:asciiTheme="minorHAnsi" w:hAnsiTheme="minorHAnsi" w:cstheme="minorHAnsi"/>
          <w:bCs/>
          <w:sz w:val="20"/>
          <w:szCs w:val="20"/>
          <w:lang w:eastAsia="zh-CN"/>
        </w:rPr>
      </w:pPr>
      <w:r w:rsidRPr="00C94A70">
        <w:rPr>
          <w:rFonts w:asciiTheme="minorHAnsi" w:hAnsiTheme="minorHAnsi" w:cstheme="minorHAnsi"/>
          <w:bCs/>
          <w:sz w:val="20"/>
          <w:szCs w:val="20"/>
        </w:rPr>
        <w:t xml:space="preserve">The total number of sepsis patients admitted to the ICU during the 2022-2023 period was 108 patients. Of 108 patients, only 57 met the research criteria. The patient characteristics are presented in </w:t>
      </w:r>
      <w:r w:rsidRPr="00283EC4">
        <w:rPr>
          <w:rFonts w:asciiTheme="minorHAnsi" w:hAnsiTheme="minorHAnsi" w:cstheme="minorHAnsi"/>
          <w:b/>
          <w:sz w:val="20"/>
          <w:szCs w:val="20"/>
        </w:rPr>
        <w:t>Table 1</w:t>
      </w:r>
      <w:r w:rsidRPr="00C94A70">
        <w:rPr>
          <w:rFonts w:asciiTheme="minorHAnsi" w:hAnsiTheme="minorHAnsi" w:cstheme="minorHAnsi"/>
          <w:bCs/>
          <w:sz w:val="20"/>
          <w:szCs w:val="20"/>
        </w:rPr>
        <w:t xml:space="preserve">. Most of the patients </w:t>
      </w:r>
      <w:r w:rsidRPr="00C94A70">
        <w:rPr>
          <w:rFonts w:asciiTheme="minorHAnsi" w:hAnsiTheme="minorHAnsi" w:cstheme="minorHAnsi"/>
          <w:bCs/>
          <w:sz w:val="20"/>
          <w:szCs w:val="20"/>
        </w:rPr>
        <w:lastRenderedPageBreak/>
        <w:t xml:space="preserve">were elderly (&gt;60 years). The finding that most sepsis patients are elderly (≥60 years) is strongly supported by current epidemiological evidence. Age is one of the most significant risk factors for sepsis due to </w:t>
      </w:r>
      <w:proofErr w:type="spellStart"/>
      <w:r w:rsidRPr="00C94A70">
        <w:rPr>
          <w:rFonts w:asciiTheme="minorHAnsi" w:hAnsiTheme="minorHAnsi" w:cstheme="minorHAnsi"/>
          <w:bCs/>
          <w:sz w:val="20"/>
          <w:szCs w:val="20"/>
        </w:rPr>
        <w:t>immunosenescence</w:t>
      </w:r>
      <w:proofErr w:type="spellEnd"/>
      <w:r w:rsidRPr="00C94A70">
        <w:rPr>
          <w:rFonts w:asciiTheme="minorHAnsi" w:hAnsiTheme="minorHAnsi" w:cstheme="minorHAnsi"/>
          <w:bCs/>
          <w:sz w:val="20"/>
          <w:szCs w:val="20"/>
        </w:rPr>
        <w:t>, reduced physiological reserve, and a higher burden of chronic comorbidities, all of which increase susceptibility to severe infection and organ dysfunction</w:t>
      </w:r>
      <w:r w:rsidR="00E95E53" w:rsidRPr="00C94A70">
        <w:rPr>
          <w:rFonts w:asciiTheme="minorHAnsi" w:hAnsiTheme="minorHAnsi" w:cstheme="minorHAnsi"/>
          <w:bCs/>
          <w:sz w:val="20"/>
          <w:szCs w:val="20"/>
        </w:rPr>
        <w:t>.</w:t>
      </w:r>
      <w:r w:rsidRPr="00C94A70">
        <w:rPr>
          <w:rFonts w:asciiTheme="minorHAnsi" w:hAnsiTheme="minorHAnsi" w:cstheme="minorHAnsi"/>
          <w:bCs/>
          <w:sz w:val="20"/>
          <w:szCs w:val="20"/>
        </w:rPr>
        <w:fldChar w:fldCharType="begin" w:fldLock="1"/>
      </w:r>
      <w:r w:rsidR="00AC3293">
        <w:rPr>
          <w:rFonts w:asciiTheme="minorHAnsi" w:hAnsiTheme="minorHAnsi" w:cstheme="minorHAnsi"/>
          <w:bCs/>
          <w:sz w:val="20"/>
          <w:szCs w:val="20"/>
        </w:rPr>
        <w:instrText>ADDIN CSL_CITATION {"citationItems":[{"id":"ITEM-1","itemData":{"DOI":"10.1186/s12879-025-11286-7","ISSN":"14712334","PMID":"40640725","abstract":"Aim: To evaluate risk factors affecting the prognosis of sepsis in elderly patients. Method: The study was conducted retrospectively in a secondary healthcare institution between 2016 and 2023. Elderly patients (&gt; 65 years) admitted with sepsis were included. Demographic data, laboratory parameters on the day of diagnosis, sepsis origin, causative microorganisms, and mortality on the 28th day were recorded. Results: A total of 179 elderly patients were included. The median age was 82 and 44% were male. The mortality rate was 49% on the 28th day. Hypertension was more common in the non-survived patients. Blood urea nitrogen (OR 1.03 (1.00-1.05) p = 0.007), and albumin (OR 0.26 (0.10–0.62) p = 0.003), levels were a predictor of mortality at the time of the admission. In the non-survived patients, Systemic inflammatory response syndrome (SIRS) and quick sepsis-related organ failure assessment scores were higher at the time of sepsis diagnosis (p &lt; 0.001). The rate of septic shock (79.5% vs. 33%), intensive care unit (99% vs. 90%), mechanical ventilation (87.5% vs. 55%), and vasopressor needs (55% vs. 27.5%) were significantly higher in the non-survived patients. The rate of bacteremia was found to be higher in the non-survived patient group (26%) than in the survivors (13.2%). The rate of Gram-negative microorganisms was significantly higher in the non-survived patient group than in the survivors (63% vs. 27%; p &lt; 0.001). The most frequently isolated bacteria were Klebsiella pneumoniae (33%) in blood culture; it was Escherichia coli (35%) in urine cultures and Acinetobacter baumanii (40%) in sputum cultures. On the 3-5th day of treatment, the clinical response rate was lower in the non-survived patient group (29%) than in the surviving’s (53%) (p = 0.001). The most important determinants for the mortality were hypertension (OR 2.39 (1.25–4.95) p = 0.019), SIRS score (OR 1.86 (1.32–2.61) p &lt; 0.001) and Gram-negative bacteria sepsis (OR 2.53 (1.22–5.22), p = 0.012). Conclusion: The number and the proportion of the elderly population is increasing worldwide, and sepsis is one of the most common causes of death in elderly patients. Knowing the poor prognostic factors is important for early treatment and to reduce mortality.","author":[{"dropping-particle":"","family":"Dülger","given":"Dilek","non-dropping-particle":"","parse-names":false,"suffix":""},{"dropping-particle":"","family":"Ture","given":"Zeynep","non-dropping-particle":"","parse-names":false,"suffix":""},{"dropping-particle":"","family":"Yolcu","given":"Ayşe","non-dropping-particle":"","parse-names":false,"suffix":""},{"dropping-particle":"","family":"Eren","given":"Esma Eryılmaz","non-dropping-particle":"","parse-names":false,"suffix":""},{"dropping-particle":"","family":"Sanlier","given":"Nevin","non-dropping-particle":"","parse-names":false,"suffix":""},{"dropping-particle":"","family":"Alp","given":"Emine","non-dropping-particle":"","parse-names":false,"suffix":""}],"container-title":"BMC Infectious Diseases","id":"ITEM-1","issue":"1","issued":{"date-parts":[["2025"]]},"title":"Sepsis in elderly patients: investigation of prognostic factors in a secondary healthcare facility","type":"article-journal","volume":"25"},"uris":["http://www.mendeley.com/documents/?uuid=934d46bf-9b80-48fa-977b-d4f4f6cfdb29","http://www.mendeley.com/documents/?uuid=cbe96ab4-117c-448a-94c8-f9ea18fec4bf"]}],"mendeley":{"formattedCitation":"&lt;sup&gt;20&lt;/sup&gt;","plainTextFormattedCitation":"20","previouslyFormattedCitation":"&lt;sup&gt;20&lt;/sup&gt;"},"properties":{"noteIndex":0},"schema":"https://github.com/citation-style-language/schema/raw/master/csl-citation.json"}</w:instrText>
      </w:r>
      <w:r w:rsidRPr="00C94A70">
        <w:rPr>
          <w:rFonts w:asciiTheme="minorHAnsi" w:hAnsiTheme="minorHAnsi" w:cstheme="minorHAnsi"/>
          <w:bCs/>
          <w:sz w:val="20"/>
          <w:szCs w:val="20"/>
        </w:rPr>
        <w:fldChar w:fldCharType="separate"/>
      </w:r>
      <w:r w:rsidR="00D81ADC" w:rsidRPr="00C94A70">
        <w:rPr>
          <w:rFonts w:asciiTheme="minorHAnsi" w:hAnsiTheme="minorHAnsi" w:cstheme="minorHAnsi"/>
          <w:bCs/>
          <w:noProof/>
          <w:sz w:val="20"/>
          <w:szCs w:val="20"/>
          <w:vertAlign w:val="superscript"/>
        </w:rPr>
        <w:t>20</w:t>
      </w:r>
      <w:r w:rsidRPr="00C94A70">
        <w:rPr>
          <w:rFonts w:asciiTheme="minorHAnsi" w:hAnsiTheme="minorHAnsi" w:cstheme="minorHAnsi"/>
          <w:bCs/>
          <w:sz w:val="20"/>
          <w:szCs w:val="20"/>
        </w:rPr>
        <w:fldChar w:fldCharType="end"/>
      </w:r>
      <w:r w:rsidRPr="00C94A70">
        <w:rPr>
          <w:rFonts w:asciiTheme="minorHAnsi" w:hAnsiTheme="minorHAnsi" w:cstheme="minorHAnsi"/>
          <w:bCs/>
          <w:sz w:val="20"/>
          <w:szCs w:val="20"/>
        </w:rPr>
        <w:t xml:space="preserve"> Elderly individuals constitute the majority of sepsis cases in hospital settings and highlight the need for age</w:t>
      </w:r>
      <w:r w:rsidRPr="00C94A70">
        <w:rPr>
          <w:rFonts w:ascii="Cambria Math" w:hAnsi="Cambria Math" w:cs="Cambria Math"/>
          <w:bCs/>
          <w:sz w:val="20"/>
          <w:szCs w:val="20"/>
        </w:rPr>
        <w:t>‑</w:t>
      </w:r>
      <w:r w:rsidRPr="00C94A70">
        <w:rPr>
          <w:rFonts w:asciiTheme="minorHAnsi" w:hAnsiTheme="minorHAnsi" w:cstheme="minorHAnsi"/>
          <w:bCs/>
          <w:sz w:val="20"/>
          <w:szCs w:val="20"/>
        </w:rPr>
        <w:t>focused prevention and management strategies</w:t>
      </w:r>
      <w:r w:rsidR="00E95E53" w:rsidRPr="00C94A70">
        <w:rPr>
          <w:rFonts w:asciiTheme="minorHAnsi" w:hAnsiTheme="minorHAnsi" w:cstheme="minorHAnsi"/>
          <w:bCs/>
          <w:sz w:val="20"/>
          <w:szCs w:val="20"/>
        </w:rPr>
        <w:t>.</w:t>
      </w:r>
      <w:r w:rsidRPr="00C94A70">
        <w:rPr>
          <w:rFonts w:asciiTheme="minorHAnsi" w:hAnsiTheme="minorHAnsi" w:cstheme="minorHAnsi"/>
          <w:bCs/>
          <w:sz w:val="20"/>
          <w:szCs w:val="20"/>
        </w:rPr>
        <w:fldChar w:fldCharType="begin" w:fldLock="1"/>
      </w:r>
      <w:r w:rsidR="00AC3293">
        <w:rPr>
          <w:rFonts w:asciiTheme="minorHAnsi" w:hAnsiTheme="minorHAnsi" w:cstheme="minorHAnsi"/>
          <w:bCs/>
          <w:sz w:val="20"/>
          <w:szCs w:val="20"/>
        </w:rPr>
        <w:instrText>ADDIN CSL_CITATION {"citationItems":[{"id":"ITEM-1","itemData":{"DOI":"10.3390/jcm14217637","ISSN":"20770383","abstract":"Background: Age is a well-established determinant of sepsis outcomes, often integrated into severity scoring systems. However, most studies focus on critically ill patients in intensive care units (ICUs), with limited insight into how age influences mortality in non-ICU settings, particularly across the full adult lifespan. Objective: To investigate the relationship between age and in-hospital mortality in patients with sepsis hospitalized in internal medicine wards, using age-stratified logistic and spline regression models. Methods: We conducted a retrospective, multicenter cohort study involving 4300 adult patients admitted to internal medicine wards at eight academic hospitals affiliated with Clalit Health Services in Israel between December 2001 and October 2020. All patients were diagnosed with sepsis during hospitalization and died during their hospital stay. Patients were stratified into seven age groups (18–34, 35–44, 45–54, 55–64, 65–74, 75–84, &gt;85 years). Logistic regression identified age-specific comorbidities associated with mortality. Adjusted spline regression models were used to estimate mortality probabilities across age ranges. Results: The cohort had a mean age at death of 78.84 years, and 51.7% were female. Mortality probability increased with age but demonstrated non-linear trends. Sharp fluctuations in predicted mortality were observed in middle-aged groups (especially ages 45–54), with peaks not captured in conventional binary or linear models. Hematologic and solid neoplasms were strongly associated with mortality in younger groups, while cardiovascular comorbidities such as heart failure and atrial fibrillation were more prominent in older adults. Conclusions: Age is a major determinant of in-hospital mortality in septic patients on internal medicine wards, but its effect is non-linear and age-specific. Our findings highlight a unique population of patients with severe sepsis not managed in critical care settings and underscore the need for more nuanced, age-stratified risk assessment models outside of the ICU.","author":[{"dropping-particle":"","family":"Gabay","given":"Ohad","non-dropping-particle":"","parse-names":false,"suffix":""},{"dropping-particle":"","family":"Smadar-Shneyour","given":"Ruth","non-dropping-particle":"","parse-names":false,"suffix":""},{"dropping-particle":"","family":"Adi","given":"Shiloh","non-dropping-particle":"","parse-names":false,"suffix":""},{"dropping-particle":"","family":"Boyko","given":"Matthew","non-dropping-particle":"","parse-names":false,"suffix":""},{"dropping-particle":"","family":"Binyamin","given":"Yair","non-dropping-particle":"","parse-names":false,"suffix":""},{"dropping-particle":"","family":"Novack","given":"Victor","non-dropping-particle":"","parse-names":false,"suffix":""},{"dropping-particle":"","family":"Frenkel","given":"Amit","non-dropping-particle":"","parse-names":false,"suffix":""}],"container-title":"Journal of Clinical Medicine","id":"ITEM-1","issue":"21","issued":{"date-parts":[["2025"]]},"page":"1-10","title":"The Impact of Age on In-Hospital Mortality in Patients with Sepsis: Findings from a Nationwide Study","type":"article-journal","volume":"14"},"uris":["http://www.mendeley.com/documents/?uuid=f2eaa49f-3f07-461e-bd17-515e36e34323","http://www.mendeley.com/documents/?uuid=0dec26d7-0bbe-44e6-a88d-f92e1ffdfdd9"]}],"mendeley":{"formattedCitation":"&lt;sup&gt;21&lt;/sup&gt;","plainTextFormattedCitation":"21","previouslyFormattedCitation":"&lt;sup&gt;21&lt;/sup&gt;"},"properties":{"noteIndex":0},"schema":"https://github.com/citation-style-language/schema/raw/master/csl-citation.json"}</w:instrText>
      </w:r>
      <w:r w:rsidRPr="00C94A70">
        <w:rPr>
          <w:rFonts w:asciiTheme="minorHAnsi" w:hAnsiTheme="minorHAnsi" w:cstheme="minorHAnsi"/>
          <w:bCs/>
          <w:sz w:val="20"/>
          <w:szCs w:val="20"/>
        </w:rPr>
        <w:fldChar w:fldCharType="separate"/>
      </w:r>
      <w:r w:rsidR="00D81ADC" w:rsidRPr="00C94A70">
        <w:rPr>
          <w:rFonts w:asciiTheme="minorHAnsi" w:hAnsiTheme="minorHAnsi" w:cstheme="minorHAnsi"/>
          <w:bCs/>
          <w:noProof/>
          <w:sz w:val="20"/>
          <w:szCs w:val="20"/>
          <w:vertAlign w:val="superscript"/>
          <w:lang w:eastAsia="zh-CN"/>
        </w:rPr>
        <w:t>21</w:t>
      </w:r>
      <w:r w:rsidRPr="00C94A70">
        <w:rPr>
          <w:rFonts w:asciiTheme="minorHAnsi" w:hAnsiTheme="minorHAnsi" w:cstheme="minorHAnsi"/>
          <w:bCs/>
          <w:sz w:val="20"/>
          <w:szCs w:val="20"/>
        </w:rPr>
        <w:fldChar w:fldCharType="end"/>
      </w:r>
    </w:p>
    <w:p w14:paraId="4834576F" w14:textId="77777777" w:rsidR="00461258" w:rsidRPr="00C94A70" w:rsidRDefault="00461258" w:rsidP="00903364">
      <w:pPr>
        <w:spacing w:after="0"/>
        <w:rPr>
          <w:rFonts w:asciiTheme="minorHAnsi" w:hAnsiTheme="minorHAnsi" w:cstheme="minorHAnsi"/>
          <w:sz w:val="20"/>
          <w:szCs w:val="20"/>
          <w:lang w:eastAsia="zh-CN"/>
        </w:rPr>
      </w:pPr>
      <w:r w:rsidRPr="00C94A70">
        <w:rPr>
          <w:rFonts w:asciiTheme="minorHAnsi" w:hAnsiTheme="minorHAnsi" w:cstheme="minorHAnsi"/>
          <w:b/>
          <w:bCs/>
          <w:sz w:val="20"/>
          <w:szCs w:val="20"/>
          <w:lang w:eastAsia="zh-CN"/>
        </w:rPr>
        <w:t>Table 1.</w:t>
      </w:r>
      <w:r w:rsidRPr="00C94A70">
        <w:rPr>
          <w:rFonts w:asciiTheme="minorHAnsi" w:hAnsiTheme="minorHAnsi" w:cstheme="minorHAnsi"/>
          <w:sz w:val="20"/>
          <w:szCs w:val="20"/>
          <w:lang w:eastAsia="zh-CN"/>
        </w:rPr>
        <w:t xml:space="preserve"> Patients Characteristic</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8"/>
        <w:gridCol w:w="1608"/>
        <w:gridCol w:w="2872"/>
      </w:tblGrid>
      <w:tr w:rsidR="00461258" w:rsidRPr="00C94A70" w14:paraId="0FE2A71C" w14:textId="77777777" w:rsidTr="009E1008">
        <w:trPr>
          <w:trHeight w:val="20"/>
        </w:trPr>
        <w:tc>
          <w:tcPr>
            <w:tcW w:w="2676" w:type="pct"/>
            <w:tcBorders>
              <w:top w:val="single" w:sz="4" w:space="0" w:color="auto"/>
              <w:bottom w:val="single" w:sz="4" w:space="0" w:color="auto"/>
            </w:tcBorders>
            <w:shd w:val="clear" w:color="auto" w:fill="DEEAF6" w:themeFill="accent5" w:themeFillTint="33"/>
            <w:vAlign w:val="center"/>
          </w:tcPr>
          <w:p w14:paraId="1B0B1418" w14:textId="77777777" w:rsidR="00461258" w:rsidRPr="00C94A70" w:rsidRDefault="00461258" w:rsidP="00AF33E9">
            <w:pPr>
              <w:spacing w:after="0" w:line="240" w:lineRule="auto"/>
              <w:jc w:val="center"/>
              <w:rPr>
                <w:rFonts w:asciiTheme="minorHAnsi" w:eastAsia="Times New Roman" w:hAnsiTheme="minorHAnsi" w:cstheme="minorHAnsi"/>
                <w:b/>
                <w:bCs/>
                <w:sz w:val="18"/>
                <w:szCs w:val="18"/>
                <w:lang w:eastAsia="id-ID"/>
              </w:rPr>
            </w:pPr>
            <w:r w:rsidRPr="00C94A70">
              <w:rPr>
                <w:rFonts w:asciiTheme="minorHAnsi" w:eastAsia="Times New Roman" w:hAnsiTheme="minorHAnsi" w:cstheme="minorHAnsi"/>
                <w:b/>
                <w:bCs/>
                <w:sz w:val="18"/>
                <w:szCs w:val="18"/>
                <w:lang w:eastAsia="id-ID"/>
              </w:rPr>
              <w:t>Characteristics</w:t>
            </w:r>
          </w:p>
        </w:tc>
        <w:tc>
          <w:tcPr>
            <w:tcW w:w="834" w:type="pct"/>
            <w:tcBorders>
              <w:top w:val="single" w:sz="4" w:space="0" w:color="auto"/>
              <w:bottom w:val="single" w:sz="4" w:space="0" w:color="auto"/>
            </w:tcBorders>
            <w:shd w:val="clear" w:color="auto" w:fill="DEEAF6" w:themeFill="accent5" w:themeFillTint="33"/>
            <w:vAlign w:val="center"/>
          </w:tcPr>
          <w:p w14:paraId="130E9D3C" w14:textId="69ED31BD" w:rsidR="00461258" w:rsidRPr="00C94A70" w:rsidRDefault="00461258" w:rsidP="00AF33E9">
            <w:pPr>
              <w:spacing w:after="0" w:line="240" w:lineRule="auto"/>
              <w:jc w:val="center"/>
              <w:rPr>
                <w:rFonts w:asciiTheme="minorHAnsi" w:eastAsia="Times New Roman" w:hAnsiTheme="minorHAnsi" w:cstheme="minorHAnsi"/>
                <w:b/>
                <w:bCs/>
                <w:sz w:val="18"/>
                <w:szCs w:val="18"/>
                <w:lang w:eastAsia="id-ID"/>
              </w:rPr>
            </w:pPr>
            <w:r w:rsidRPr="00C94A70">
              <w:rPr>
                <w:rFonts w:asciiTheme="minorHAnsi" w:eastAsia="Times New Roman" w:hAnsiTheme="minorHAnsi" w:cstheme="minorHAnsi"/>
                <w:b/>
                <w:bCs/>
                <w:sz w:val="18"/>
                <w:szCs w:val="18"/>
                <w:lang w:eastAsia="id-ID"/>
              </w:rPr>
              <w:t>Number</w:t>
            </w:r>
          </w:p>
        </w:tc>
        <w:tc>
          <w:tcPr>
            <w:tcW w:w="1490" w:type="pct"/>
            <w:tcBorders>
              <w:top w:val="single" w:sz="4" w:space="0" w:color="auto"/>
              <w:bottom w:val="single" w:sz="4" w:space="0" w:color="auto"/>
            </w:tcBorders>
            <w:shd w:val="clear" w:color="auto" w:fill="DEEAF6" w:themeFill="accent5" w:themeFillTint="33"/>
            <w:vAlign w:val="center"/>
          </w:tcPr>
          <w:p w14:paraId="32B2C956" w14:textId="77777777" w:rsidR="00461258" w:rsidRPr="00C94A70" w:rsidRDefault="00461258" w:rsidP="00AF33E9">
            <w:pPr>
              <w:spacing w:after="0" w:line="240" w:lineRule="auto"/>
              <w:jc w:val="center"/>
              <w:rPr>
                <w:rFonts w:asciiTheme="minorHAnsi" w:eastAsia="Times New Roman" w:hAnsiTheme="minorHAnsi" w:cstheme="minorHAnsi"/>
                <w:b/>
                <w:bCs/>
                <w:sz w:val="18"/>
                <w:szCs w:val="18"/>
                <w:lang w:eastAsia="id-ID"/>
              </w:rPr>
            </w:pPr>
            <w:r w:rsidRPr="00C94A70">
              <w:rPr>
                <w:rFonts w:asciiTheme="minorHAnsi" w:eastAsia="Times New Roman" w:hAnsiTheme="minorHAnsi" w:cstheme="minorHAnsi"/>
                <w:b/>
                <w:bCs/>
                <w:sz w:val="18"/>
                <w:szCs w:val="18"/>
                <w:lang w:eastAsia="id-ID"/>
              </w:rPr>
              <w:t>Percentage (%)</w:t>
            </w:r>
          </w:p>
        </w:tc>
      </w:tr>
      <w:tr w:rsidR="00461258" w:rsidRPr="00C94A70" w14:paraId="5BCE87B9" w14:textId="77777777" w:rsidTr="009E1008">
        <w:trPr>
          <w:trHeight w:val="20"/>
        </w:trPr>
        <w:tc>
          <w:tcPr>
            <w:tcW w:w="5000" w:type="pct"/>
            <w:gridSpan w:val="3"/>
            <w:tcBorders>
              <w:top w:val="single" w:sz="4" w:space="0" w:color="auto"/>
              <w:bottom w:val="nil"/>
            </w:tcBorders>
          </w:tcPr>
          <w:p w14:paraId="05319FDD" w14:textId="77777777" w:rsidR="00461258" w:rsidRPr="00C94A70" w:rsidRDefault="00461258" w:rsidP="00AF33E9">
            <w:pPr>
              <w:pStyle w:val="Heading8"/>
              <w:spacing w:before="0" w:line="240" w:lineRule="auto"/>
              <w:rPr>
                <w:rFonts w:asciiTheme="minorHAnsi" w:hAnsiTheme="minorHAnsi" w:cstheme="minorHAnsi"/>
                <w:b/>
                <w:bCs/>
                <w:sz w:val="18"/>
                <w:szCs w:val="18"/>
                <w:lang w:eastAsia="zh-CN"/>
              </w:rPr>
            </w:pPr>
            <w:r w:rsidRPr="00C94A70">
              <w:rPr>
                <w:rFonts w:asciiTheme="minorHAnsi" w:hAnsiTheme="minorHAnsi" w:cstheme="minorHAnsi"/>
                <w:b/>
                <w:bCs/>
                <w:sz w:val="18"/>
                <w:szCs w:val="18"/>
                <w:lang w:eastAsia="zh-CN"/>
              </w:rPr>
              <w:t>Age</w:t>
            </w:r>
          </w:p>
        </w:tc>
      </w:tr>
      <w:tr w:rsidR="00461258" w:rsidRPr="00C94A70" w14:paraId="7263D4B0" w14:textId="77777777" w:rsidTr="009E1008">
        <w:trPr>
          <w:trHeight w:val="20"/>
        </w:trPr>
        <w:tc>
          <w:tcPr>
            <w:tcW w:w="2676" w:type="pct"/>
            <w:tcBorders>
              <w:top w:val="nil"/>
              <w:bottom w:val="nil"/>
            </w:tcBorders>
          </w:tcPr>
          <w:p w14:paraId="1D39A504" w14:textId="77777777" w:rsidR="00461258" w:rsidRPr="00C94A70" w:rsidRDefault="00461258" w:rsidP="00AF33E9">
            <w:pPr>
              <w:spacing w:after="0" w:line="240" w:lineRule="auto"/>
              <w:ind w:left="313"/>
              <w:rPr>
                <w:rFonts w:asciiTheme="minorHAnsi" w:hAnsiTheme="minorHAnsi" w:cstheme="minorHAnsi"/>
                <w:color w:val="000000"/>
                <w:sz w:val="18"/>
                <w:szCs w:val="18"/>
                <w:lang w:eastAsia="zh-CN"/>
              </w:rPr>
            </w:pPr>
            <w:r w:rsidRPr="00C94A70">
              <w:rPr>
                <w:rFonts w:asciiTheme="minorHAnsi" w:hAnsiTheme="minorHAnsi" w:cstheme="minorHAnsi"/>
                <w:color w:val="000000"/>
                <w:sz w:val="18"/>
                <w:szCs w:val="18"/>
                <w:lang w:eastAsia="zh-CN"/>
              </w:rPr>
              <w:t>Elderly (&gt;60 years)</w:t>
            </w:r>
          </w:p>
        </w:tc>
        <w:tc>
          <w:tcPr>
            <w:tcW w:w="834" w:type="pct"/>
            <w:tcBorders>
              <w:top w:val="nil"/>
              <w:bottom w:val="nil"/>
            </w:tcBorders>
          </w:tcPr>
          <w:p w14:paraId="477C5801" w14:textId="77777777" w:rsidR="00461258" w:rsidRPr="00C94A70" w:rsidRDefault="00461258" w:rsidP="00AF33E9">
            <w:pPr>
              <w:spacing w:after="0" w:line="240" w:lineRule="auto"/>
              <w:jc w:val="center"/>
              <w:rPr>
                <w:rFonts w:asciiTheme="minorHAnsi" w:hAnsiTheme="minorHAnsi" w:cstheme="minorHAnsi"/>
                <w:color w:val="000000"/>
                <w:sz w:val="18"/>
                <w:szCs w:val="18"/>
                <w:lang w:eastAsia="zh-CN"/>
              </w:rPr>
            </w:pPr>
            <w:r w:rsidRPr="00C94A70">
              <w:rPr>
                <w:rFonts w:asciiTheme="minorHAnsi" w:hAnsiTheme="minorHAnsi" w:cstheme="minorHAnsi"/>
                <w:color w:val="000000"/>
                <w:sz w:val="18"/>
                <w:szCs w:val="18"/>
                <w:lang w:eastAsia="zh-CN"/>
              </w:rPr>
              <w:t>33</w:t>
            </w:r>
          </w:p>
        </w:tc>
        <w:tc>
          <w:tcPr>
            <w:tcW w:w="1490" w:type="pct"/>
            <w:tcBorders>
              <w:top w:val="nil"/>
              <w:bottom w:val="nil"/>
            </w:tcBorders>
          </w:tcPr>
          <w:p w14:paraId="0848F822" w14:textId="252E7B7F"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57</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89</w:t>
            </w:r>
          </w:p>
        </w:tc>
      </w:tr>
      <w:tr w:rsidR="00461258" w:rsidRPr="00C94A70" w14:paraId="3E248A1C" w14:textId="77777777" w:rsidTr="009E1008">
        <w:trPr>
          <w:trHeight w:val="20"/>
        </w:trPr>
        <w:tc>
          <w:tcPr>
            <w:tcW w:w="2676" w:type="pct"/>
            <w:tcBorders>
              <w:top w:val="nil"/>
              <w:bottom w:val="nil"/>
            </w:tcBorders>
          </w:tcPr>
          <w:p w14:paraId="7AE367CF" w14:textId="3EF7EFBC" w:rsidR="00461258" w:rsidRPr="00C94A70" w:rsidRDefault="009E2E2A" w:rsidP="00AF33E9">
            <w:pPr>
              <w:spacing w:after="0" w:line="240" w:lineRule="auto"/>
              <w:ind w:left="313"/>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lang w:eastAsia="zh-CN"/>
              </w:rPr>
              <w:t>Middle</w:t>
            </w:r>
            <w:r w:rsidR="00461258" w:rsidRPr="00C94A70">
              <w:rPr>
                <w:rFonts w:asciiTheme="minorHAnsi" w:hAnsiTheme="minorHAnsi" w:cstheme="minorHAnsi"/>
                <w:color w:val="000000"/>
                <w:sz w:val="18"/>
                <w:szCs w:val="18"/>
                <w:lang w:eastAsia="zh-CN"/>
              </w:rPr>
              <w:t xml:space="preserve"> age (45-59 years)</w:t>
            </w:r>
          </w:p>
        </w:tc>
        <w:tc>
          <w:tcPr>
            <w:tcW w:w="834" w:type="pct"/>
            <w:tcBorders>
              <w:top w:val="nil"/>
              <w:bottom w:val="nil"/>
            </w:tcBorders>
          </w:tcPr>
          <w:p w14:paraId="0112646B" w14:textId="77777777"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lang w:eastAsia="zh-CN"/>
              </w:rPr>
              <w:t>15</w:t>
            </w:r>
          </w:p>
        </w:tc>
        <w:tc>
          <w:tcPr>
            <w:tcW w:w="1490" w:type="pct"/>
            <w:tcBorders>
              <w:top w:val="nil"/>
              <w:bottom w:val="nil"/>
            </w:tcBorders>
          </w:tcPr>
          <w:p w14:paraId="39A305DC" w14:textId="74502878"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26</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32</w:t>
            </w:r>
          </w:p>
        </w:tc>
      </w:tr>
      <w:tr w:rsidR="00461258" w:rsidRPr="00C94A70" w14:paraId="0F80CB86" w14:textId="77777777" w:rsidTr="009E1008">
        <w:trPr>
          <w:trHeight w:val="20"/>
        </w:trPr>
        <w:tc>
          <w:tcPr>
            <w:tcW w:w="2676" w:type="pct"/>
            <w:tcBorders>
              <w:top w:val="nil"/>
              <w:bottom w:val="nil"/>
            </w:tcBorders>
          </w:tcPr>
          <w:p w14:paraId="1AD33A87" w14:textId="51A74970" w:rsidR="00461258" w:rsidRPr="00C94A70" w:rsidRDefault="00283EC4" w:rsidP="00AF33E9">
            <w:pPr>
              <w:spacing w:after="0" w:line="240" w:lineRule="auto"/>
              <w:ind w:left="313"/>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lang w:eastAsia="zh-CN"/>
              </w:rPr>
              <w:t>Adults</w:t>
            </w:r>
            <w:r w:rsidR="00461258" w:rsidRPr="00C94A70">
              <w:rPr>
                <w:rFonts w:asciiTheme="minorHAnsi" w:hAnsiTheme="minorHAnsi" w:cstheme="minorHAnsi"/>
                <w:color w:val="000000"/>
                <w:sz w:val="18"/>
                <w:szCs w:val="18"/>
                <w:lang w:eastAsia="zh-CN"/>
              </w:rPr>
              <w:t xml:space="preserve"> (19-44 years)</w:t>
            </w:r>
          </w:p>
        </w:tc>
        <w:tc>
          <w:tcPr>
            <w:tcW w:w="834" w:type="pct"/>
            <w:tcBorders>
              <w:top w:val="nil"/>
              <w:bottom w:val="nil"/>
            </w:tcBorders>
          </w:tcPr>
          <w:p w14:paraId="3479052A" w14:textId="77777777"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lang w:eastAsia="zh-CN"/>
              </w:rPr>
              <w:t>9</w:t>
            </w:r>
          </w:p>
        </w:tc>
        <w:tc>
          <w:tcPr>
            <w:tcW w:w="1490" w:type="pct"/>
            <w:tcBorders>
              <w:top w:val="nil"/>
              <w:bottom w:val="nil"/>
            </w:tcBorders>
          </w:tcPr>
          <w:p w14:paraId="21C7F7F9" w14:textId="663D3C55"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15</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79</w:t>
            </w:r>
          </w:p>
        </w:tc>
      </w:tr>
      <w:tr w:rsidR="00461258" w:rsidRPr="00C94A70" w14:paraId="2C2FAED0" w14:textId="77777777" w:rsidTr="009E1008">
        <w:trPr>
          <w:trHeight w:val="20"/>
        </w:trPr>
        <w:tc>
          <w:tcPr>
            <w:tcW w:w="2676" w:type="pct"/>
            <w:tcBorders>
              <w:top w:val="nil"/>
              <w:bottom w:val="single" w:sz="4" w:space="0" w:color="auto"/>
            </w:tcBorders>
          </w:tcPr>
          <w:p w14:paraId="5B0C92C5" w14:textId="77777777" w:rsidR="00461258" w:rsidRPr="00C94A70" w:rsidRDefault="00461258" w:rsidP="00AF33E9">
            <w:pPr>
              <w:pStyle w:val="Heading8"/>
              <w:spacing w:before="0" w:line="240" w:lineRule="auto"/>
              <w:rPr>
                <w:rFonts w:asciiTheme="minorHAnsi" w:hAnsiTheme="minorHAnsi" w:cstheme="minorHAnsi"/>
                <w:sz w:val="18"/>
                <w:szCs w:val="18"/>
                <w:lang w:eastAsia="zh-CN"/>
              </w:rPr>
            </w:pPr>
            <w:r w:rsidRPr="00C94A70">
              <w:rPr>
                <w:rFonts w:asciiTheme="minorHAnsi" w:hAnsiTheme="minorHAnsi" w:cstheme="minorHAnsi"/>
                <w:sz w:val="18"/>
                <w:szCs w:val="18"/>
                <w:lang w:eastAsia="zh-CN"/>
              </w:rPr>
              <w:t>Total</w:t>
            </w:r>
          </w:p>
        </w:tc>
        <w:tc>
          <w:tcPr>
            <w:tcW w:w="834" w:type="pct"/>
            <w:tcBorders>
              <w:top w:val="nil"/>
              <w:bottom w:val="single" w:sz="4" w:space="0" w:color="auto"/>
            </w:tcBorders>
          </w:tcPr>
          <w:p w14:paraId="0C676729" w14:textId="77777777"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57</w:t>
            </w:r>
          </w:p>
        </w:tc>
        <w:tc>
          <w:tcPr>
            <w:tcW w:w="1490" w:type="pct"/>
            <w:tcBorders>
              <w:top w:val="nil"/>
              <w:bottom w:val="single" w:sz="4" w:space="0" w:color="auto"/>
            </w:tcBorders>
          </w:tcPr>
          <w:p w14:paraId="75ED5054" w14:textId="02BE347D"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100</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0</w:t>
            </w:r>
          </w:p>
        </w:tc>
      </w:tr>
      <w:tr w:rsidR="00461258" w:rsidRPr="00C94A70" w14:paraId="3653D768" w14:textId="77777777" w:rsidTr="009E1008">
        <w:trPr>
          <w:trHeight w:val="20"/>
        </w:trPr>
        <w:tc>
          <w:tcPr>
            <w:tcW w:w="5000" w:type="pct"/>
            <w:gridSpan w:val="3"/>
            <w:tcBorders>
              <w:top w:val="single" w:sz="4" w:space="0" w:color="auto"/>
            </w:tcBorders>
          </w:tcPr>
          <w:p w14:paraId="3C5224A0" w14:textId="77777777" w:rsidR="00461258" w:rsidRPr="00C94A70" w:rsidRDefault="00461258" w:rsidP="00AF33E9">
            <w:pPr>
              <w:pStyle w:val="Heading8"/>
              <w:spacing w:before="0" w:line="240" w:lineRule="auto"/>
              <w:rPr>
                <w:rFonts w:asciiTheme="minorHAnsi" w:hAnsiTheme="minorHAnsi" w:cstheme="minorHAnsi"/>
                <w:b/>
                <w:bCs/>
                <w:sz w:val="18"/>
                <w:szCs w:val="18"/>
                <w:lang w:eastAsia="zh-CN"/>
              </w:rPr>
            </w:pPr>
            <w:r w:rsidRPr="00C94A70">
              <w:rPr>
                <w:rFonts w:asciiTheme="minorHAnsi" w:hAnsiTheme="minorHAnsi" w:cstheme="minorHAnsi"/>
                <w:b/>
                <w:bCs/>
                <w:sz w:val="18"/>
                <w:szCs w:val="18"/>
                <w:lang w:eastAsia="zh-CN"/>
              </w:rPr>
              <w:t>Gender</w:t>
            </w:r>
          </w:p>
        </w:tc>
      </w:tr>
      <w:tr w:rsidR="00461258" w:rsidRPr="00C94A70" w14:paraId="26AF23CE" w14:textId="77777777" w:rsidTr="009E1008">
        <w:trPr>
          <w:trHeight w:val="20"/>
        </w:trPr>
        <w:tc>
          <w:tcPr>
            <w:tcW w:w="2676" w:type="pct"/>
          </w:tcPr>
          <w:p w14:paraId="497B7CFC" w14:textId="77777777" w:rsidR="00461258" w:rsidRPr="00C94A70" w:rsidRDefault="00461258" w:rsidP="00AF33E9">
            <w:pPr>
              <w:spacing w:after="0" w:line="240" w:lineRule="auto"/>
              <w:ind w:left="313"/>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Male</w:t>
            </w:r>
          </w:p>
        </w:tc>
        <w:tc>
          <w:tcPr>
            <w:tcW w:w="834" w:type="pct"/>
          </w:tcPr>
          <w:p w14:paraId="21769EF9" w14:textId="77777777"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33</w:t>
            </w:r>
          </w:p>
        </w:tc>
        <w:tc>
          <w:tcPr>
            <w:tcW w:w="1490" w:type="pct"/>
          </w:tcPr>
          <w:p w14:paraId="5EBD7E9D" w14:textId="0018BB19"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57</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89</w:t>
            </w:r>
          </w:p>
        </w:tc>
      </w:tr>
      <w:tr w:rsidR="00461258" w:rsidRPr="00C94A70" w14:paraId="6A34AD71" w14:textId="77777777" w:rsidTr="009E1008">
        <w:trPr>
          <w:trHeight w:val="20"/>
        </w:trPr>
        <w:tc>
          <w:tcPr>
            <w:tcW w:w="2676" w:type="pct"/>
          </w:tcPr>
          <w:p w14:paraId="27FD565A" w14:textId="77777777" w:rsidR="00461258" w:rsidRPr="00C94A70" w:rsidRDefault="00461258" w:rsidP="00AF33E9">
            <w:pPr>
              <w:spacing w:after="0" w:line="240" w:lineRule="auto"/>
              <w:ind w:left="313"/>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Female</w:t>
            </w:r>
          </w:p>
        </w:tc>
        <w:tc>
          <w:tcPr>
            <w:tcW w:w="834" w:type="pct"/>
          </w:tcPr>
          <w:p w14:paraId="3CE67D3B" w14:textId="77777777"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24</w:t>
            </w:r>
          </w:p>
        </w:tc>
        <w:tc>
          <w:tcPr>
            <w:tcW w:w="1490" w:type="pct"/>
          </w:tcPr>
          <w:p w14:paraId="715F25A9" w14:textId="3DCBE23E" w:rsidR="00461258" w:rsidRPr="00C94A70" w:rsidRDefault="00461258"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42</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11</w:t>
            </w:r>
          </w:p>
        </w:tc>
      </w:tr>
      <w:tr w:rsidR="00461258" w:rsidRPr="00C94A70" w14:paraId="4E9720FF" w14:textId="77777777" w:rsidTr="009E1008">
        <w:trPr>
          <w:trHeight w:val="20"/>
        </w:trPr>
        <w:tc>
          <w:tcPr>
            <w:tcW w:w="2676" w:type="pct"/>
          </w:tcPr>
          <w:p w14:paraId="01EEBB5F" w14:textId="77777777" w:rsidR="00461258" w:rsidRPr="00C94A70" w:rsidRDefault="00461258" w:rsidP="00AF33E9">
            <w:pPr>
              <w:pStyle w:val="Heading8"/>
              <w:spacing w:before="0" w:line="240" w:lineRule="auto"/>
              <w:rPr>
                <w:rFonts w:asciiTheme="minorHAnsi" w:hAnsiTheme="minorHAnsi" w:cstheme="minorHAnsi"/>
                <w:sz w:val="18"/>
                <w:szCs w:val="18"/>
              </w:rPr>
            </w:pPr>
            <w:r w:rsidRPr="00C94A70">
              <w:rPr>
                <w:rFonts w:asciiTheme="minorHAnsi" w:hAnsiTheme="minorHAnsi" w:cstheme="minorHAnsi"/>
                <w:sz w:val="18"/>
                <w:szCs w:val="18"/>
              </w:rPr>
              <w:t>Total</w:t>
            </w:r>
          </w:p>
        </w:tc>
        <w:tc>
          <w:tcPr>
            <w:tcW w:w="834" w:type="pct"/>
          </w:tcPr>
          <w:p w14:paraId="3E96CD88" w14:textId="77777777" w:rsidR="00461258" w:rsidRPr="00C94A70" w:rsidRDefault="00461258" w:rsidP="00AF33E9">
            <w:pPr>
              <w:spacing w:after="0" w:line="240" w:lineRule="auto"/>
              <w:jc w:val="center"/>
              <w:rPr>
                <w:rFonts w:asciiTheme="minorHAnsi" w:hAnsiTheme="minorHAnsi" w:cstheme="minorHAnsi"/>
                <w:color w:val="000000"/>
                <w:sz w:val="18"/>
                <w:szCs w:val="18"/>
              </w:rPr>
            </w:pPr>
            <w:r w:rsidRPr="00C94A70">
              <w:rPr>
                <w:rFonts w:asciiTheme="minorHAnsi" w:hAnsiTheme="minorHAnsi" w:cstheme="minorHAnsi"/>
                <w:color w:val="000000"/>
                <w:sz w:val="18"/>
                <w:szCs w:val="18"/>
              </w:rPr>
              <w:t>57</w:t>
            </w:r>
          </w:p>
        </w:tc>
        <w:tc>
          <w:tcPr>
            <w:tcW w:w="1490" w:type="pct"/>
          </w:tcPr>
          <w:p w14:paraId="3A579FB8" w14:textId="6124ED38" w:rsidR="00461258" w:rsidRPr="00C94A70" w:rsidRDefault="00461258" w:rsidP="00AF33E9">
            <w:pPr>
              <w:spacing w:after="0" w:line="240" w:lineRule="auto"/>
              <w:jc w:val="center"/>
              <w:rPr>
                <w:rFonts w:asciiTheme="minorHAnsi" w:hAnsiTheme="minorHAnsi" w:cstheme="minorHAnsi"/>
                <w:color w:val="000000"/>
                <w:sz w:val="18"/>
                <w:szCs w:val="18"/>
              </w:rPr>
            </w:pPr>
            <w:r w:rsidRPr="00C94A70">
              <w:rPr>
                <w:rFonts w:asciiTheme="minorHAnsi" w:hAnsiTheme="minorHAnsi" w:cstheme="minorHAnsi"/>
                <w:color w:val="000000"/>
                <w:sz w:val="18"/>
                <w:szCs w:val="18"/>
              </w:rPr>
              <w:t>100</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0</w:t>
            </w:r>
          </w:p>
        </w:tc>
      </w:tr>
    </w:tbl>
    <w:p w14:paraId="2063D207" w14:textId="77777777" w:rsidR="00461258" w:rsidRPr="00C94A70" w:rsidRDefault="00461258" w:rsidP="00AE58A6">
      <w:pPr>
        <w:spacing w:before="120" w:after="0"/>
        <w:rPr>
          <w:rFonts w:asciiTheme="minorHAnsi" w:hAnsiTheme="minorHAnsi" w:cstheme="minorHAnsi"/>
          <w:sz w:val="20"/>
          <w:szCs w:val="20"/>
        </w:rPr>
      </w:pPr>
      <w:r w:rsidRPr="00C94A70">
        <w:rPr>
          <w:rFonts w:asciiTheme="minorHAnsi" w:hAnsiTheme="minorHAnsi" w:cstheme="minorHAnsi"/>
          <w:b/>
          <w:bCs/>
          <w:sz w:val="20"/>
          <w:szCs w:val="20"/>
        </w:rPr>
        <w:t>Table 2.</w:t>
      </w:r>
      <w:r w:rsidRPr="00C94A70">
        <w:rPr>
          <w:rFonts w:asciiTheme="minorHAnsi" w:hAnsiTheme="minorHAnsi" w:cstheme="minorHAnsi"/>
          <w:sz w:val="20"/>
          <w:szCs w:val="20"/>
        </w:rPr>
        <w:t xml:space="preserve"> Antibiotics profile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6"/>
        <w:gridCol w:w="1155"/>
        <w:gridCol w:w="2007"/>
      </w:tblGrid>
      <w:tr w:rsidR="00461258" w:rsidRPr="00283EC4" w14:paraId="1B228E83" w14:textId="77777777" w:rsidTr="00E94144">
        <w:trPr>
          <w:trHeight w:val="20"/>
          <w:tblHeader/>
        </w:trPr>
        <w:tc>
          <w:tcPr>
            <w:tcW w:w="3360" w:type="pct"/>
            <w:tcBorders>
              <w:top w:val="single" w:sz="4" w:space="0" w:color="auto"/>
              <w:bottom w:val="single" w:sz="4" w:space="0" w:color="auto"/>
            </w:tcBorders>
            <w:shd w:val="clear" w:color="auto" w:fill="DEEAF6" w:themeFill="accent5" w:themeFillTint="33"/>
            <w:vAlign w:val="center"/>
          </w:tcPr>
          <w:p w14:paraId="307D2AD7" w14:textId="77777777" w:rsidR="00461258" w:rsidRPr="00283EC4" w:rsidRDefault="00461258" w:rsidP="00AF33E9">
            <w:pPr>
              <w:pStyle w:val="Heading8"/>
              <w:spacing w:before="0" w:line="240" w:lineRule="auto"/>
              <w:contextualSpacing/>
              <w:jc w:val="center"/>
              <w:rPr>
                <w:rFonts w:asciiTheme="minorHAnsi" w:hAnsiTheme="minorHAnsi" w:cstheme="minorHAnsi"/>
                <w:b/>
                <w:bCs/>
                <w:sz w:val="18"/>
                <w:szCs w:val="18"/>
                <w:lang w:val="en-US"/>
              </w:rPr>
            </w:pPr>
            <w:r w:rsidRPr="00283EC4">
              <w:rPr>
                <w:rFonts w:asciiTheme="minorHAnsi" w:hAnsiTheme="minorHAnsi" w:cstheme="minorHAnsi"/>
                <w:b/>
                <w:bCs/>
                <w:sz w:val="18"/>
                <w:szCs w:val="18"/>
                <w:lang w:val="en-US"/>
              </w:rPr>
              <w:t>Type of Antibiotics</w:t>
            </w:r>
          </w:p>
        </w:tc>
        <w:tc>
          <w:tcPr>
            <w:tcW w:w="599" w:type="pct"/>
            <w:tcBorders>
              <w:top w:val="single" w:sz="4" w:space="0" w:color="auto"/>
              <w:bottom w:val="single" w:sz="4" w:space="0" w:color="auto"/>
            </w:tcBorders>
            <w:shd w:val="clear" w:color="auto" w:fill="DEEAF6" w:themeFill="accent5" w:themeFillTint="33"/>
            <w:vAlign w:val="center"/>
          </w:tcPr>
          <w:p w14:paraId="4CE13AD8" w14:textId="428276A4" w:rsidR="00461258" w:rsidRPr="00283EC4" w:rsidRDefault="00461258" w:rsidP="00AF33E9">
            <w:pPr>
              <w:pStyle w:val="Heading8"/>
              <w:spacing w:before="0" w:line="240" w:lineRule="auto"/>
              <w:contextualSpacing/>
              <w:jc w:val="center"/>
              <w:rPr>
                <w:rFonts w:asciiTheme="minorHAnsi" w:hAnsiTheme="minorHAnsi" w:cstheme="minorHAnsi"/>
                <w:b/>
                <w:bCs/>
                <w:sz w:val="18"/>
                <w:szCs w:val="18"/>
                <w:lang w:val="en-US"/>
              </w:rPr>
            </w:pPr>
            <w:r w:rsidRPr="00283EC4">
              <w:rPr>
                <w:rFonts w:asciiTheme="minorHAnsi" w:hAnsiTheme="minorHAnsi" w:cstheme="minorHAnsi"/>
                <w:b/>
                <w:bCs/>
                <w:sz w:val="18"/>
                <w:szCs w:val="18"/>
                <w:lang w:val="en-US"/>
              </w:rPr>
              <w:t>Number</w:t>
            </w:r>
          </w:p>
        </w:tc>
        <w:tc>
          <w:tcPr>
            <w:tcW w:w="1041" w:type="pct"/>
            <w:tcBorders>
              <w:top w:val="single" w:sz="4" w:space="0" w:color="auto"/>
              <w:bottom w:val="single" w:sz="4" w:space="0" w:color="auto"/>
            </w:tcBorders>
            <w:shd w:val="clear" w:color="auto" w:fill="DEEAF6" w:themeFill="accent5" w:themeFillTint="33"/>
            <w:vAlign w:val="center"/>
          </w:tcPr>
          <w:p w14:paraId="779B47E8" w14:textId="77777777" w:rsidR="00461258" w:rsidRPr="00283EC4" w:rsidRDefault="00461258" w:rsidP="00AF33E9">
            <w:pPr>
              <w:pStyle w:val="Heading8"/>
              <w:spacing w:before="0" w:line="240" w:lineRule="auto"/>
              <w:contextualSpacing/>
              <w:jc w:val="center"/>
              <w:rPr>
                <w:rFonts w:asciiTheme="minorHAnsi" w:hAnsiTheme="minorHAnsi" w:cstheme="minorHAnsi"/>
                <w:b/>
                <w:bCs/>
                <w:sz w:val="18"/>
                <w:szCs w:val="18"/>
                <w:lang w:val="en-US"/>
              </w:rPr>
            </w:pPr>
            <w:proofErr w:type="spellStart"/>
            <w:r w:rsidRPr="00283EC4">
              <w:rPr>
                <w:rFonts w:asciiTheme="minorHAnsi" w:hAnsiTheme="minorHAnsi" w:cstheme="minorHAnsi"/>
                <w:b/>
                <w:bCs/>
                <w:sz w:val="18"/>
                <w:szCs w:val="18"/>
                <w:lang w:val="en-US"/>
              </w:rPr>
              <w:t>Pecentage</w:t>
            </w:r>
            <w:proofErr w:type="spellEnd"/>
            <w:r w:rsidRPr="00283EC4">
              <w:rPr>
                <w:rFonts w:asciiTheme="minorHAnsi" w:hAnsiTheme="minorHAnsi" w:cstheme="minorHAnsi"/>
                <w:b/>
                <w:bCs/>
                <w:sz w:val="18"/>
                <w:szCs w:val="18"/>
                <w:lang w:val="en-US"/>
              </w:rPr>
              <w:t xml:space="preserve"> (%)</w:t>
            </w:r>
          </w:p>
        </w:tc>
      </w:tr>
      <w:tr w:rsidR="00461258" w:rsidRPr="00283EC4" w14:paraId="07DC2066" w14:textId="77777777" w:rsidTr="009E1008">
        <w:trPr>
          <w:trHeight w:val="20"/>
          <w:tblHeader/>
        </w:trPr>
        <w:tc>
          <w:tcPr>
            <w:tcW w:w="5000" w:type="pct"/>
            <w:gridSpan w:val="3"/>
            <w:tcBorders>
              <w:top w:val="single" w:sz="4" w:space="0" w:color="auto"/>
            </w:tcBorders>
            <w:vAlign w:val="center"/>
          </w:tcPr>
          <w:p w14:paraId="17C1FB8D" w14:textId="77777777" w:rsidR="00461258" w:rsidRPr="00283EC4" w:rsidRDefault="00461258" w:rsidP="00AF33E9">
            <w:pPr>
              <w:pStyle w:val="Heading8"/>
              <w:spacing w:before="0" w:line="240" w:lineRule="auto"/>
              <w:contextualSpacing/>
              <w:rPr>
                <w:rFonts w:asciiTheme="minorHAnsi" w:hAnsiTheme="minorHAnsi" w:cstheme="minorHAnsi"/>
                <w:b/>
                <w:bCs/>
                <w:color w:val="000000"/>
                <w:sz w:val="18"/>
                <w:szCs w:val="18"/>
                <w:lang w:val="en-US"/>
              </w:rPr>
            </w:pPr>
            <w:r w:rsidRPr="00283EC4">
              <w:rPr>
                <w:rFonts w:asciiTheme="minorHAnsi" w:hAnsiTheme="minorHAnsi" w:cstheme="minorHAnsi"/>
                <w:b/>
                <w:bCs/>
                <w:sz w:val="18"/>
                <w:szCs w:val="18"/>
                <w:lang w:val="en-US"/>
              </w:rPr>
              <w:t>Monotherapy</w:t>
            </w:r>
          </w:p>
        </w:tc>
      </w:tr>
      <w:tr w:rsidR="00461258" w:rsidRPr="00283EC4" w14:paraId="12F28F2A" w14:textId="77777777" w:rsidTr="009E1008">
        <w:trPr>
          <w:trHeight w:val="20"/>
          <w:tblHeader/>
        </w:trPr>
        <w:tc>
          <w:tcPr>
            <w:tcW w:w="3360" w:type="pct"/>
            <w:vAlign w:val="center"/>
          </w:tcPr>
          <w:p w14:paraId="22D3AA2B"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Levofloxacin</w:t>
            </w:r>
          </w:p>
        </w:tc>
        <w:tc>
          <w:tcPr>
            <w:tcW w:w="599" w:type="pct"/>
            <w:vAlign w:val="center"/>
          </w:tcPr>
          <w:p w14:paraId="2D34078B"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6</w:t>
            </w:r>
          </w:p>
        </w:tc>
        <w:tc>
          <w:tcPr>
            <w:tcW w:w="1041" w:type="pct"/>
            <w:vAlign w:val="center"/>
          </w:tcPr>
          <w:p w14:paraId="401223C2" w14:textId="7701A035"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10</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53</w:t>
            </w:r>
          </w:p>
        </w:tc>
      </w:tr>
      <w:tr w:rsidR="00461258" w:rsidRPr="00283EC4" w14:paraId="6BBEEC91" w14:textId="77777777" w:rsidTr="009E1008">
        <w:trPr>
          <w:trHeight w:val="20"/>
          <w:tblHeader/>
        </w:trPr>
        <w:tc>
          <w:tcPr>
            <w:tcW w:w="3360" w:type="pct"/>
            <w:vAlign w:val="center"/>
          </w:tcPr>
          <w:p w14:paraId="7E6AEEE2"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Ceftriaxone</w:t>
            </w:r>
          </w:p>
        </w:tc>
        <w:tc>
          <w:tcPr>
            <w:tcW w:w="599" w:type="pct"/>
            <w:vAlign w:val="center"/>
          </w:tcPr>
          <w:p w14:paraId="675B4FE2"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6</w:t>
            </w:r>
          </w:p>
        </w:tc>
        <w:tc>
          <w:tcPr>
            <w:tcW w:w="1041" w:type="pct"/>
            <w:vAlign w:val="center"/>
          </w:tcPr>
          <w:p w14:paraId="35146DA4" w14:textId="0DAAAC80"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10</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53</w:t>
            </w:r>
          </w:p>
        </w:tc>
      </w:tr>
      <w:tr w:rsidR="00461258" w:rsidRPr="00283EC4" w14:paraId="7D41C4A3" w14:textId="77777777" w:rsidTr="009E1008">
        <w:trPr>
          <w:trHeight w:val="20"/>
          <w:tblHeader/>
        </w:trPr>
        <w:tc>
          <w:tcPr>
            <w:tcW w:w="3360" w:type="pct"/>
            <w:vAlign w:val="center"/>
          </w:tcPr>
          <w:p w14:paraId="1686552A"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proofErr w:type="spellStart"/>
            <w:r w:rsidRPr="00283EC4">
              <w:rPr>
                <w:rFonts w:asciiTheme="minorHAnsi" w:hAnsiTheme="minorHAnsi" w:cstheme="minorHAnsi"/>
                <w:color w:val="000000"/>
                <w:sz w:val="18"/>
                <w:szCs w:val="18"/>
              </w:rPr>
              <w:t>Cefoperazone</w:t>
            </w:r>
            <w:proofErr w:type="spellEnd"/>
          </w:p>
        </w:tc>
        <w:tc>
          <w:tcPr>
            <w:tcW w:w="599" w:type="pct"/>
            <w:vAlign w:val="center"/>
          </w:tcPr>
          <w:p w14:paraId="3A7DE1AF"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3</w:t>
            </w:r>
          </w:p>
        </w:tc>
        <w:tc>
          <w:tcPr>
            <w:tcW w:w="1041" w:type="pct"/>
            <w:vAlign w:val="center"/>
          </w:tcPr>
          <w:p w14:paraId="0A47BD9C" w14:textId="41C82A61"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5</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26</w:t>
            </w:r>
          </w:p>
        </w:tc>
      </w:tr>
      <w:tr w:rsidR="00461258" w:rsidRPr="00283EC4" w14:paraId="113AF968" w14:textId="77777777" w:rsidTr="009E1008">
        <w:trPr>
          <w:trHeight w:val="20"/>
          <w:tblHeader/>
        </w:trPr>
        <w:tc>
          <w:tcPr>
            <w:tcW w:w="3360" w:type="pct"/>
            <w:vAlign w:val="center"/>
          </w:tcPr>
          <w:p w14:paraId="5F219F8B"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Cefepime</w:t>
            </w:r>
          </w:p>
        </w:tc>
        <w:tc>
          <w:tcPr>
            <w:tcW w:w="599" w:type="pct"/>
            <w:vAlign w:val="center"/>
          </w:tcPr>
          <w:p w14:paraId="27F27AED"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2</w:t>
            </w:r>
          </w:p>
        </w:tc>
        <w:tc>
          <w:tcPr>
            <w:tcW w:w="1041" w:type="pct"/>
            <w:vAlign w:val="center"/>
          </w:tcPr>
          <w:p w14:paraId="1C62B15D" w14:textId="48559CA3"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3</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51</w:t>
            </w:r>
          </w:p>
        </w:tc>
      </w:tr>
      <w:tr w:rsidR="00461258" w:rsidRPr="00283EC4" w14:paraId="02A40D92" w14:textId="77777777" w:rsidTr="009E1008">
        <w:trPr>
          <w:trHeight w:val="20"/>
          <w:tblHeader/>
        </w:trPr>
        <w:tc>
          <w:tcPr>
            <w:tcW w:w="3360" w:type="pct"/>
            <w:vAlign w:val="center"/>
          </w:tcPr>
          <w:p w14:paraId="1E7EBC3C"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Moxifloxacin</w:t>
            </w:r>
          </w:p>
        </w:tc>
        <w:tc>
          <w:tcPr>
            <w:tcW w:w="599" w:type="pct"/>
            <w:vAlign w:val="center"/>
          </w:tcPr>
          <w:p w14:paraId="7F081F23"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759F7DA5" w14:textId="6122ED4D"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53656122" w14:textId="77777777" w:rsidTr="009E1008">
        <w:trPr>
          <w:trHeight w:val="20"/>
          <w:tblHeader/>
        </w:trPr>
        <w:tc>
          <w:tcPr>
            <w:tcW w:w="3360" w:type="pct"/>
            <w:vAlign w:val="center"/>
          </w:tcPr>
          <w:p w14:paraId="6AA9396F"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Ceftazidime</w:t>
            </w:r>
          </w:p>
        </w:tc>
        <w:tc>
          <w:tcPr>
            <w:tcW w:w="599" w:type="pct"/>
            <w:vAlign w:val="center"/>
          </w:tcPr>
          <w:p w14:paraId="790D3549"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0AC219D3" w14:textId="771E2FAE"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7CFB59FD" w14:textId="77777777" w:rsidTr="009E1008">
        <w:trPr>
          <w:trHeight w:val="20"/>
          <w:tblHeader/>
        </w:trPr>
        <w:tc>
          <w:tcPr>
            <w:tcW w:w="3360" w:type="pct"/>
            <w:vAlign w:val="center"/>
          </w:tcPr>
          <w:p w14:paraId="734C3901"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Meropenem</w:t>
            </w:r>
          </w:p>
        </w:tc>
        <w:tc>
          <w:tcPr>
            <w:tcW w:w="599" w:type="pct"/>
            <w:vAlign w:val="center"/>
          </w:tcPr>
          <w:p w14:paraId="4E33CB88"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3413F719" w14:textId="2697960C"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62F25526" w14:textId="77777777" w:rsidTr="009E1008">
        <w:trPr>
          <w:trHeight w:val="20"/>
          <w:tblHeader/>
        </w:trPr>
        <w:tc>
          <w:tcPr>
            <w:tcW w:w="3360" w:type="pct"/>
            <w:tcBorders>
              <w:bottom w:val="single" w:sz="4" w:space="0" w:color="auto"/>
            </w:tcBorders>
            <w:vAlign w:val="center"/>
          </w:tcPr>
          <w:p w14:paraId="51B82BEE" w14:textId="77777777" w:rsidR="00461258" w:rsidRPr="00283EC4" w:rsidRDefault="00461258" w:rsidP="00AF33E9">
            <w:pPr>
              <w:pStyle w:val="Heading8"/>
              <w:spacing w:before="0" w:line="240" w:lineRule="auto"/>
              <w:contextualSpacing/>
              <w:rPr>
                <w:rFonts w:asciiTheme="minorHAnsi" w:hAnsiTheme="minorHAnsi" w:cstheme="minorHAnsi"/>
                <w:b/>
                <w:bCs/>
                <w:sz w:val="18"/>
                <w:szCs w:val="18"/>
                <w:lang w:val="en-US"/>
              </w:rPr>
            </w:pPr>
            <w:r w:rsidRPr="00283EC4">
              <w:rPr>
                <w:rFonts w:asciiTheme="minorHAnsi" w:hAnsiTheme="minorHAnsi" w:cstheme="minorHAnsi"/>
                <w:b/>
                <w:bCs/>
                <w:sz w:val="18"/>
                <w:szCs w:val="18"/>
                <w:lang w:val="en-US"/>
              </w:rPr>
              <w:t>Total monotherapy</w:t>
            </w:r>
          </w:p>
        </w:tc>
        <w:tc>
          <w:tcPr>
            <w:tcW w:w="599" w:type="pct"/>
            <w:tcBorders>
              <w:bottom w:val="single" w:sz="4" w:space="0" w:color="auto"/>
            </w:tcBorders>
            <w:vAlign w:val="center"/>
          </w:tcPr>
          <w:p w14:paraId="217A2E64" w14:textId="77777777" w:rsidR="00461258" w:rsidRPr="00283EC4" w:rsidRDefault="00461258" w:rsidP="00AF33E9">
            <w:pPr>
              <w:spacing w:after="0" w:line="240" w:lineRule="auto"/>
              <w:contextualSpacing/>
              <w:jc w:val="center"/>
              <w:rPr>
                <w:rFonts w:asciiTheme="minorHAnsi" w:hAnsiTheme="minorHAnsi" w:cstheme="minorHAnsi"/>
                <w:b/>
                <w:bCs/>
                <w:color w:val="000000"/>
                <w:sz w:val="18"/>
                <w:szCs w:val="18"/>
              </w:rPr>
            </w:pPr>
            <w:r w:rsidRPr="00283EC4">
              <w:rPr>
                <w:rFonts w:asciiTheme="minorHAnsi" w:hAnsiTheme="minorHAnsi" w:cstheme="minorHAnsi"/>
                <w:b/>
                <w:bCs/>
                <w:color w:val="000000"/>
                <w:sz w:val="18"/>
                <w:szCs w:val="18"/>
              </w:rPr>
              <w:t>20</w:t>
            </w:r>
          </w:p>
        </w:tc>
        <w:tc>
          <w:tcPr>
            <w:tcW w:w="1041" w:type="pct"/>
            <w:tcBorders>
              <w:bottom w:val="single" w:sz="4" w:space="0" w:color="auto"/>
            </w:tcBorders>
            <w:vAlign w:val="center"/>
          </w:tcPr>
          <w:p w14:paraId="67527F81" w14:textId="37E562B7" w:rsidR="00461258" w:rsidRPr="00283EC4" w:rsidRDefault="00461258" w:rsidP="00AF33E9">
            <w:pPr>
              <w:spacing w:after="0" w:line="240" w:lineRule="auto"/>
              <w:contextualSpacing/>
              <w:jc w:val="center"/>
              <w:rPr>
                <w:rFonts w:asciiTheme="minorHAnsi" w:hAnsiTheme="minorHAnsi" w:cstheme="minorHAnsi"/>
                <w:b/>
                <w:bCs/>
                <w:color w:val="000000"/>
                <w:sz w:val="18"/>
                <w:szCs w:val="18"/>
              </w:rPr>
            </w:pPr>
            <w:r w:rsidRPr="00283EC4">
              <w:rPr>
                <w:rFonts w:asciiTheme="minorHAnsi" w:hAnsiTheme="minorHAnsi" w:cstheme="minorHAnsi"/>
                <w:b/>
                <w:bCs/>
                <w:color w:val="000000"/>
                <w:sz w:val="18"/>
                <w:szCs w:val="18"/>
              </w:rPr>
              <w:t>35</w:t>
            </w:r>
            <w:r w:rsidR="00A510F5" w:rsidRPr="00283EC4">
              <w:rPr>
                <w:rFonts w:asciiTheme="minorHAnsi" w:hAnsiTheme="minorHAnsi" w:cstheme="minorHAnsi"/>
                <w:b/>
                <w:bCs/>
                <w:color w:val="000000"/>
                <w:sz w:val="18"/>
                <w:szCs w:val="18"/>
              </w:rPr>
              <w:t>.</w:t>
            </w:r>
            <w:r w:rsidRPr="00283EC4">
              <w:rPr>
                <w:rFonts w:asciiTheme="minorHAnsi" w:hAnsiTheme="minorHAnsi" w:cstheme="minorHAnsi"/>
                <w:b/>
                <w:bCs/>
                <w:color w:val="000000"/>
                <w:sz w:val="18"/>
                <w:szCs w:val="18"/>
              </w:rPr>
              <w:t>09</w:t>
            </w:r>
          </w:p>
        </w:tc>
      </w:tr>
      <w:tr w:rsidR="00461258" w:rsidRPr="00283EC4" w14:paraId="365B9E2C" w14:textId="77777777" w:rsidTr="009E1008">
        <w:trPr>
          <w:trHeight w:val="20"/>
          <w:tblHeader/>
        </w:trPr>
        <w:tc>
          <w:tcPr>
            <w:tcW w:w="5000" w:type="pct"/>
            <w:gridSpan w:val="3"/>
            <w:tcBorders>
              <w:top w:val="single" w:sz="4" w:space="0" w:color="auto"/>
            </w:tcBorders>
            <w:vAlign w:val="center"/>
          </w:tcPr>
          <w:p w14:paraId="05B9721E" w14:textId="77777777" w:rsidR="00461258" w:rsidRPr="00283EC4" w:rsidRDefault="00461258" w:rsidP="00AF33E9">
            <w:pPr>
              <w:pStyle w:val="Heading8"/>
              <w:spacing w:before="0" w:line="240" w:lineRule="auto"/>
              <w:contextualSpacing/>
              <w:rPr>
                <w:rFonts w:asciiTheme="minorHAnsi" w:hAnsiTheme="minorHAnsi" w:cstheme="minorHAnsi"/>
                <w:b/>
                <w:bCs/>
                <w:color w:val="000000"/>
                <w:sz w:val="18"/>
                <w:szCs w:val="18"/>
                <w:lang w:val="en-US"/>
              </w:rPr>
            </w:pPr>
            <w:r w:rsidRPr="00283EC4">
              <w:rPr>
                <w:rFonts w:asciiTheme="minorHAnsi" w:hAnsiTheme="minorHAnsi" w:cstheme="minorHAnsi"/>
                <w:b/>
                <w:bCs/>
                <w:sz w:val="18"/>
                <w:szCs w:val="18"/>
                <w:lang w:val="en-US"/>
              </w:rPr>
              <w:t xml:space="preserve">Antibiotic Combination </w:t>
            </w:r>
          </w:p>
        </w:tc>
      </w:tr>
      <w:tr w:rsidR="00461258" w:rsidRPr="00283EC4" w14:paraId="3820A9CD" w14:textId="77777777" w:rsidTr="009E1008">
        <w:trPr>
          <w:trHeight w:val="20"/>
          <w:tblHeader/>
        </w:trPr>
        <w:tc>
          <w:tcPr>
            <w:tcW w:w="3360" w:type="pct"/>
            <w:vAlign w:val="center"/>
          </w:tcPr>
          <w:p w14:paraId="73CFDD71"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Ceftriaxone + Metronidazole</w:t>
            </w:r>
          </w:p>
        </w:tc>
        <w:tc>
          <w:tcPr>
            <w:tcW w:w="599" w:type="pct"/>
            <w:vAlign w:val="center"/>
          </w:tcPr>
          <w:p w14:paraId="086F21A1"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3</w:t>
            </w:r>
          </w:p>
        </w:tc>
        <w:tc>
          <w:tcPr>
            <w:tcW w:w="1041" w:type="pct"/>
            <w:vAlign w:val="center"/>
          </w:tcPr>
          <w:p w14:paraId="2A69CE6B" w14:textId="11CB1A4F"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5</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26</w:t>
            </w:r>
          </w:p>
        </w:tc>
      </w:tr>
      <w:tr w:rsidR="00461258" w:rsidRPr="00283EC4" w14:paraId="7814EADA" w14:textId="77777777" w:rsidTr="009E1008">
        <w:trPr>
          <w:trHeight w:val="20"/>
          <w:tblHeader/>
        </w:trPr>
        <w:tc>
          <w:tcPr>
            <w:tcW w:w="3360" w:type="pct"/>
            <w:vAlign w:val="center"/>
          </w:tcPr>
          <w:p w14:paraId="581EE986"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 xml:space="preserve">Levofloxacin + </w:t>
            </w:r>
            <w:proofErr w:type="spellStart"/>
            <w:r w:rsidRPr="00283EC4">
              <w:rPr>
                <w:rFonts w:asciiTheme="minorHAnsi" w:hAnsiTheme="minorHAnsi" w:cstheme="minorHAnsi"/>
                <w:color w:val="000000"/>
                <w:sz w:val="18"/>
                <w:szCs w:val="18"/>
              </w:rPr>
              <w:t>Cefoperazone</w:t>
            </w:r>
            <w:proofErr w:type="spellEnd"/>
          </w:p>
        </w:tc>
        <w:tc>
          <w:tcPr>
            <w:tcW w:w="599" w:type="pct"/>
            <w:vAlign w:val="center"/>
          </w:tcPr>
          <w:p w14:paraId="34F1A188"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3</w:t>
            </w:r>
          </w:p>
        </w:tc>
        <w:tc>
          <w:tcPr>
            <w:tcW w:w="1041" w:type="pct"/>
            <w:vAlign w:val="center"/>
          </w:tcPr>
          <w:p w14:paraId="34CEAECE" w14:textId="69F1E732"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5</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26</w:t>
            </w:r>
          </w:p>
        </w:tc>
      </w:tr>
      <w:tr w:rsidR="00461258" w:rsidRPr="00283EC4" w14:paraId="15CE4703" w14:textId="77777777" w:rsidTr="009E1008">
        <w:trPr>
          <w:trHeight w:val="20"/>
          <w:tblHeader/>
        </w:trPr>
        <w:tc>
          <w:tcPr>
            <w:tcW w:w="3360" w:type="pct"/>
            <w:vAlign w:val="center"/>
          </w:tcPr>
          <w:p w14:paraId="55829B1D"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Levofloxacin + Metronidazole</w:t>
            </w:r>
          </w:p>
        </w:tc>
        <w:tc>
          <w:tcPr>
            <w:tcW w:w="599" w:type="pct"/>
            <w:vAlign w:val="center"/>
          </w:tcPr>
          <w:p w14:paraId="0E85935C"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2</w:t>
            </w:r>
          </w:p>
        </w:tc>
        <w:tc>
          <w:tcPr>
            <w:tcW w:w="1041" w:type="pct"/>
            <w:vAlign w:val="center"/>
          </w:tcPr>
          <w:p w14:paraId="3572F282" w14:textId="19F6C121"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3</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51</w:t>
            </w:r>
          </w:p>
        </w:tc>
      </w:tr>
      <w:tr w:rsidR="00461258" w:rsidRPr="00283EC4" w14:paraId="2A4ECFB1" w14:textId="77777777" w:rsidTr="009E1008">
        <w:trPr>
          <w:trHeight w:val="20"/>
          <w:tblHeader/>
        </w:trPr>
        <w:tc>
          <w:tcPr>
            <w:tcW w:w="3360" w:type="pct"/>
            <w:vAlign w:val="center"/>
          </w:tcPr>
          <w:p w14:paraId="2586F324"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Levofloxacin + Ceftriaxone + Cefixime</w:t>
            </w:r>
          </w:p>
        </w:tc>
        <w:tc>
          <w:tcPr>
            <w:tcW w:w="599" w:type="pct"/>
            <w:vAlign w:val="center"/>
          </w:tcPr>
          <w:p w14:paraId="452A76A2"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2</w:t>
            </w:r>
          </w:p>
        </w:tc>
        <w:tc>
          <w:tcPr>
            <w:tcW w:w="1041" w:type="pct"/>
            <w:vAlign w:val="center"/>
          </w:tcPr>
          <w:p w14:paraId="0915F46E" w14:textId="1C6898F9"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3</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51</w:t>
            </w:r>
          </w:p>
        </w:tc>
      </w:tr>
      <w:tr w:rsidR="00461258" w:rsidRPr="00283EC4" w14:paraId="3C56ECB0" w14:textId="77777777" w:rsidTr="009E1008">
        <w:trPr>
          <w:trHeight w:val="20"/>
          <w:tblHeader/>
        </w:trPr>
        <w:tc>
          <w:tcPr>
            <w:tcW w:w="3360" w:type="pct"/>
            <w:vAlign w:val="center"/>
          </w:tcPr>
          <w:p w14:paraId="2C8287D4"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Amikacin + Ceftazidime</w:t>
            </w:r>
          </w:p>
        </w:tc>
        <w:tc>
          <w:tcPr>
            <w:tcW w:w="599" w:type="pct"/>
            <w:vAlign w:val="center"/>
          </w:tcPr>
          <w:p w14:paraId="26A19148"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1F4F32A7" w14:textId="57DD0938"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5BD23BD7" w14:textId="77777777" w:rsidTr="009E1008">
        <w:trPr>
          <w:trHeight w:val="20"/>
          <w:tblHeader/>
        </w:trPr>
        <w:tc>
          <w:tcPr>
            <w:tcW w:w="3360" w:type="pct"/>
            <w:vAlign w:val="center"/>
          </w:tcPr>
          <w:p w14:paraId="6DC2E25E"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Moxifloxacin + Cefepime</w:t>
            </w:r>
          </w:p>
        </w:tc>
        <w:tc>
          <w:tcPr>
            <w:tcW w:w="599" w:type="pct"/>
            <w:vAlign w:val="center"/>
          </w:tcPr>
          <w:p w14:paraId="68732675"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24974F84" w14:textId="7CDCEBFC"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1ED10FA1" w14:textId="77777777" w:rsidTr="009E1008">
        <w:trPr>
          <w:trHeight w:val="20"/>
          <w:tblHeader/>
        </w:trPr>
        <w:tc>
          <w:tcPr>
            <w:tcW w:w="3360" w:type="pct"/>
            <w:vAlign w:val="center"/>
          </w:tcPr>
          <w:p w14:paraId="2B4E8C7C"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Ceftriaxone + Ciprofloxacin</w:t>
            </w:r>
          </w:p>
        </w:tc>
        <w:tc>
          <w:tcPr>
            <w:tcW w:w="599" w:type="pct"/>
            <w:vAlign w:val="center"/>
          </w:tcPr>
          <w:p w14:paraId="7F7041AB"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1094280C" w14:textId="7ADF4FC1"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0A3A4CCA" w14:textId="77777777" w:rsidTr="009E1008">
        <w:trPr>
          <w:trHeight w:val="20"/>
          <w:tblHeader/>
        </w:trPr>
        <w:tc>
          <w:tcPr>
            <w:tcW w:w="3360" w:type="pct"/>
            <w:vAlign w:val="center"/>
          </w:tcPr>
          <w:p w14:paraId="555160F7"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Moxifloxacin + Metronidazole</w:t>
            </w:r>
          </w:p>
        </w:tc>
        <w:tc>
          <w:tcPr>
            <w:tcW w:w="599" w:type="pct"/>
            <w:vAlign w:val="center"/>
          </w:tcPr>
          <w:p w14:paraId="2E01B687"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12C427DF" w14:textId="7BC703CA"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37437CDB" w14:textId="77777777" w:rsidTr="009E1008">
        <w:trPr>
          <w:trHeight w:val="20"/>
          <w:tblHeader/>
        </w:trPr>
        <w:tc>
          <w:tcPr>
            <w:tcW w:w="3360" w:type="pct"/>
            <w:vAlign w:val="center"/>
          </w:tcPr>
          <w:p w14:paraId="79A08C63"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Ceftriaxone + Cefixime</w:t>
            </w:r>
          </w:p>
        </w:tc>
        <w:tc>
          <w:tcPr>
            <w:tcW w:w="599" w:type="pct"/>
            <w:vAlign w:val="center"/>
          </w:tcPr>
          <w:p w14:paraId="1F36BC36"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11DF1C0B" w14:textId="4046D02B"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32873620" w14:textId="77777777" w:rsidTr="009E1008">
        <w:trPr>
          <w:trHeight w:val="20"/>
          <w:tblHeader/>
        </w:trPr>
        <w:tc>
          <w:tcPr>
            <w:tcW w:w="3360" w:type="pct"/>
            <w:vAlign w:val="center"/>
          </w:tcPr>
          <w:p w14:paraId="3319B381"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proofErr w:type="spellStart"/>
            <w:r w:rsidRPr="00283EC4">
              <w:rPr>
                <w:rFonts w:asciiTheme="minorHAnsi" w:hAnsiTheme="minorHAnsi" w:cstheme="minorHAnsi"/>
                <w:color w:val="000000"/>
                <w:sz w:val="18"/>
                <w:szCs w:val="18"/>
              </w:rPr>
              <w:t>Cefoperazone</w:t>
            </w:r>
            <w:proofErr w:type="spellEnd"/>
            <w:r w:rsidRPr="00283EC4">
              <w:rPr>
                <w:rFonts w:asciiTheme="minorHAnsi" w:hAnsiTheme="minorHAnsi" w:cstheme="minorHAnsi"/>
                <w:color w:val="000000"/>
                <w:sz w:val="18"/>
                <w:szCs w:val="18"/>
              </w:rPr>
              <w:t xml:space="preserve"> + Cefixime</w:t>
            </w:r>
          </w:p>
        </w:tc>
        <w:tc>
          <w:tcPr>
            <w:tcW w:w="599" w:type="pct"/>
            <w:vAlign w:val="center"/>
          </w:tcPr>
          <w:p w14:paraId="7C081C73"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5E3857A5" w14:textId="3B07CB16"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4B166A24" w14:textId="77777777" w:rsidTr="009E1008">
        <w:trPr>
          <w:trHeight w:val="20"/>
          <w:tblHeader/>
        </w:trPr>
        <w:tc>
          <w:tcPr>
            <w:tcW w:w="3360" w:type="pct"/>
            <w:vAlign w:val="center"/>
          </w:tcPr>
          <w:p w14:paraId="083433A8"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 xml:space="preserve">Ceftriaxone + Levofloxacin </w:t>
            </w:r>
          </w:p>
        </w:tc>
        <w:tc>
          <w:tcPr>
            <w:tcW w:w="599" w:type="pct"/>
            <w:vAlign w:val="center"/>
          </w:tcPr>
          <w:p w14:paraId="55AE7930"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216C1961" w14:textId="63C7D996"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139FE865" w14:textId="77777777" w:rsidTr="009E1008">
        <w:trPr>
          <w:trHeight w:val="20"/>
          <w:tblHeader/>
        </w:trPr>
        <w:tc>
          <w:tcPr>
            <w:tcW w:w="3360" w:type="pct"/>
            <w:vAlign w:val="center"/>
          </w:tcPr>
          <w:p w14:paraId="35F2C0FE"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Moxifloxacin + Cefotaxime</w:t>
            </w:r>
          </w:p>
        </w:tc>
        <w:tc>
          <w:tcPr>
            <w:tcW w:w="599" w:type="pct"/>
            <w:vAlign w:val="center"/>
          </w:tcPr>
          <w:p w14:paraId="3CE2A8EA"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5E76EE46" w14:textId="7FF86E60"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13F5127B" w14:textId="77777777" w:rsidTr="009E1008">
        <w:trPr>
          <w:trHeight w:val="20"/>
          <w:tblHeader/>
        </w:trPr>
        <w:tc>
          <w:tcPr>
            <w:tcW w:w="3360" w:type="pct"/>
            <w:vAlign w:val="center"/>
          </w:tcPr>
          <w:p w14:paraId="78A332EB"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Moxifloxacin + Ceftazidime + Metronidazole</w:t>
            </w:r>
          </w:p>
        </w:tc>
        <w:tc>
          <w:tcPr>
            <w:tcW w:w="599" w:type="pct"/>
            <w:vAlign w:val="center"/>
          </w:tcPr>
          <w:p w14:paraId="27E56579"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26728F6D" w14:textId="7832FA71"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0E7D4A8B" w14:textId="77777777" w:rsidTr="009E1008">
        <w:trPr>
          <w:trHeight w:val="20"/>
          <w:tblHeader/>
        </w:trPr>
        <w:tc>
          <w:tcPr>
            <w:tcW w:w="3360" w:type="pct"/>
            <w:vAlign w:val="center"/>
          </w:tcPr>
          <w:p w14:paraId="3BD2AFE8"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 xml:space="preserve">Cotrimoxazole + Levofloxacin + </w:t>
            </w:r>
            <w:proofErr w:type="spellStart"/>
            <w:r w:rsidRPr="00283EC4">
              <w:rPr>
                <w:rFonts w:asciiTheme="minorHAnsi" w:hAnsiTheme="minorHAnsi" w:cstheme="minorHAnsi"/>
                <w:color w:val="000000"/>
                <w:sz w:val="18"/>
                <w:szCs w:val="18"/>
              </w:rPr>
              <w:t>Cefoperazone</w:t>
            </w:r>
            <w:proofErr w:type="spellEnd"/>
            <w:r w:rsidRPr="00283EC4">
              <w:rPr>
                <w:rFonts w:asciiTheme="minorHAnsi" w:hAnsiTheme="minorHAnsi" w:cstheme="minorHAnsi"/>
                <w:color w:val="000000"/>
                <w:sz w:val="18"/>
                <w:szCs w:val="18"/>
              </w:rPr>
              <w:t xml:space="preserve"> -Sulbactam</w:t>
            </w:r>
          </w:p>
        </w:tc>
        <w:tc>
          <w:tcPr>
            <w:tcW w:w="599" w:type="pct"/>
            <w:vAlign w:val="center"/>
          </w:tcPr>
          <w:p w14:paraId="1CB32C1A"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20AFAC9A" w14:textId="6FDD62CA"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13E8B9ED" w14:textId="77777777" w:rsidTr="009E1008">
        <w:trPr>
          <w:trHeight w:val="20"/>
          <w:tblHeader/>
        </w:trPr>
        <w:tc>
          <w:tcPr>
            <w:tcW w:w="3360" w:type="pct"/>
            <w:vAlign w:val="center"/>
          </w:tcPr>
          <w:p w14:paraId="77A16B9E"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proofErr w:type="spellStart"/>
            <w:r w:rsidRPr="00283EC4">
              <w:rPr>
                <w:rFonts w:asciiTheme="minorHAnsi" w:hAnsiTheme="minorHAnsi" w:cstheme="minorHAnsi"/>
                <w:color w:val="000000"/>
                <w:sz w:val="18"/>
                <w:szCs w:val="18"/>
              </w:rPr>
              <w:t>Cefoperazone</w:t>
            </w:r>
            <w:proofErr w:type="spellEnd"/>
            <w:r w:rsidRPr="00283EC4">
              <w:rPr>
                <w:rFonts w:asciiTheme="minorHAnsi" w:hAnsiTheme="minorHAnsi" w:cstheme="minorHAnsi"/>
                <w:color w:val="000000"/>
                <w:sz w:val="18"/>
                <w:szCs w:val="18"/>
              </w:rPr>
              <w:t xml:space="preserve"> + Ciprofloxacin + Gentamicin</w:t>
            </w:r>
          </w:p>
        </w:tc>
        <w:tc>
          <w:tcPr>
            <w:tcW w:w="599" w:type="pct"/>
            <w:vAlign w:val="center"/>
          </w:tcPr>
          <w:p w14:paraId="06AA844A"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56A1AFF9" w14:textId="45CA62C4"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4ABA9224" w14:textId="77777777" w:rsidTr="009E1008">
        <w:trPr>
          <w:trHeight w:val="20"/>
          <w:tblHeader/>
        </w:trPr>
        <w:tc>
          <w:tcPr>
            <w:tcW w:w="3360" w:type="pct"/>
            <w:vAlign w:val="center"/>
          </w:tcPr>
          <w:p w14:paraId="62318419"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Ceftazidime + Gentamicin + Cefixime</w:t>
            </w:r>
          </w:p>
        </w:tc>
        <w:tc>
          <w:tcPr>
            <w:tcW w:w="599" w:type="pct"/>
            <w:vAlign w:val="center"/>
          </w:tcPr>
          <w:p w14:paraId="20A5AC78"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0ED634F7" w14:textId="113EC8A1"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0E398C66" w14:textId="77777777" w:rsidTr="009E1008">
        <w:trPr>
          <w:trHeight w:val="20"/>
          <w:tblHeader/>
        </w:trPr>
        <w:tc>
          <w:tcPr>
            <w:tcW w:w="3360" w:type="pct"/>
            <w:vAlign w:val="center"/>
          </w:tcPr>
          <w:p w14:paraId="72854192" w14:textId="77777777" w:rsidR="00461258" w:rsidRPr="00283EC4" w:rsidRDefault="00461258" w:rsidP="00AF33E9">
            <w:pPr>
              <w:spacing w:after="0" w:line="240" w:lineRule="auto"/>
              <w:ind w:left="313"/>
              <w:contextualSpacing/>
              <w:rPr>
                <w:rFonts w:asciiTheme="minorHAnsi" w:eastAsia="Times New Roman" w:hAnsiTheme="minorHAnsi" w:cstheme="minorHAnsi"/>
                <w:sz w:val="18"/>
                <w:szCs w:val="18"/>
                <w:lang w:eastAsia="id-ID"/>
              </w:rPr>
            </w:pPr>
            <w:r w:rsidRPr="00283EC4">
              <w:rPr>
                <w:rFonts w:asciiTheme="minorHAnsi" w:hAnsiTheme="minorHAnsi" w:cstheme="minorHAnsi"/>
                <w:color w:val="000000"/>
                <w:sz w:val="18"/>
                <w:szCs w:val="18"/>
              </w:rPr>
              <w:t>Moxifloxacin + Meropenem + Ceftriaxone + Metronidazole</w:t>
            </w:r>
          </w:p>
        </w:tc>
        <w:tc>
          <w:tcPr>
            <w:tcW w:w="599" w:type="pct"/>
            <w:vAlign w:val="center"/>
          </w:tcPr>
          <w:p w14:paraId="7D317DB7"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tcPr>
          <w:p w14:paraId="6EB0C319" w14:textId="0C55E193"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46CCA2CA" w14:textId="77777777" w:rsidTr="009E1008">
        <w:trPr>
          <w:trHeight w:val="20"/>
          <w:tblHeader/>
        </w:trPr>
        <w:tc>
          <w:tcPr>
            <w:tcW w:w="3360" w:type="pct"/>
            <w:vAlign w:val="center"/>
          </w:tcPr>
          <w:p w14:paraId="50CBD156"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Moxifloxacin + ampicillin sulbactam + Ceftazidime</w:t>
            </w:r>
          </w:p>
        </w:tc>
        <w:tc>
          <w:tcPr>
            <w:tcW w:w="599" w:type="pct"/>
            <w:vAlign w:val="center"/>
          </w:tcPr>
          <w:p w14:paraId="362AB77F"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1FCE4227" w14:textId="12B0D2E6"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489A1005" w14:textId="77777777" w:rsidTr="009E1008">
        <w:trPr>
          <w:trHeight w:val="20"/>
          <w:tblHeader/>
        </w:trPr>
        <w:tc>
          <w:tcPr>
            <w:tcW w:w="3360" w:type="pct"/>
            <w:vAlign w:val="center"/>
          </w:tcPr>
          <w:p w14:paraId="338E0A4E"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 xml:space="preserve">Moxifloxacin + </w:t>
            </w:r>
            <w:proofErr w:type="spellStart"/>
            <w:r w:rsidRPr="00283EC4">
              <w:rPr>
                <w:rFonts w:asciiTheme="minorHAnsi" w:hAnsiTheme="minorHAnsi" w:cstheme="minorHAnsi"/>
                <w:color w:val="000000"/>
                <w:sz w:val="18"/>
                <w:szCs w:val="18"/>
              </w:rPr>
              <w:t>Cefoperazone</w:t>
            </w:r>
            <w:proofErr w:type="spellEnd"/>
            <w:r w:rsidRPr="00283EC4">
              <w:rPr>
                <w:rFonts w:asciiTheme="minorHAnsi" w:hAnsiTheme="minorHAnsi" w:cstheme="minorHAnsi"/>
                <w:color w:val="000000"/>
                <w:sz w:val="18"/>
                <w:szCs w:val="18"/>
              </w:rPr>
              <w:t xml:space="preserve"> + Cotrimoxazole + Cefotaxime</w:t>
            </w:r>
          </w:p>
        </w:tc>
        <w:tc>
          <w:tcPr>
            <w:tcW w:w="599" w:type="pct"/>
            <w:vAlign w:val="center"/>
          </w:tcPr>
          <w:p w14:paraId="6B2E33E4"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66899EB2" w14:textId="618E4448"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02950FEC" w14:textId="77777777" w:rsidTr="009E1008">
        <w:trPr>
          <w:trHeight w:val="20"/>
          <w:tblHeader/>
        </w:trPr>
        <w:tc>
          <w:tcPr>
            <w:tcW w:w="3360" w:type="pct"/>
            <w:vAlign w:val="center"/>
          </w:tcPr>
          <w:p w14:paraId="5965653C"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Ceftriaxone + Moxifloxacin + Cefepime + Metronidazole</w:t>
            </w:r>
          </w:p>
        </w:tc>
        <w:tc>
          <w:tcPr>
            <w:tcW w:w="599" w:type="pct"/>
            <w:vAlign w:val="center"/>
          </w:tcPr>
          <w:p w14:paraId="21E98B56"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1793223C" w14:textId="5723E6C8"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6DB24E05" w14:textId="77777777" w:rsidTr="009E1008">
        <w:trPr>
          <w:trHeight w:val="20"/>
          <w:tblHeader/>
        </w:trPr>
        <w:tc>
          <w:tcPr>
            <w:tcW w:w="3360" w:type="pct"/>
            <w:vAlign w:val="center"/>
          </w:tcPr>
          <w:p w14:paraId="2B908616"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Ampicillin Sulbactam + Gentamicin + Amoxicillin-Clavulanate</w:t>
            </w:r>
          </w:p>
        </w:tc>
        <w:tc>
          <w:tcPr>
            <w:tcW w:w="599" w:type="pct"/>
            <w:vAlign w:val="center"/>
          </w:tcPr>
          <w:p w14:paraId="6274BA0E"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3312A78B" w14:textId="5EF3CA79"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5C0B1906" w14:textId="77777777" w:rsidTr="009E1008">
        <w:trPr>
          <w:trHeight w:val="20"/>
          <w:tblHeader/>
        </w:trPr>
        <w:tc>
          <w:tcPr>
            <w:tcW w:w="3360" w:type="pct"/>
            <w:vAlign w:val="center"/>
          </w:tcPr>
          <w:p w14:paraId="6C67FD71"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 xml:space="preserve">Moxifloxacin + </w:t>
            </w:r>
            <w:proofErr w:type="spellStart"/>
            <w:r w:rsidRPr="00283EC4">
              <w:rPr>
                <w:rFonts w:asciiTheme="minorHAnsi" w:hAnsiTheme="minorHAnsi" w:cstheme="minorHAnsi"/>
                <w:color w:val="000000"/>
                <w:sz w:val="18"/>
                <w:szCs w:val="18"/>
              </w:rPr>
              <w:t>Cefoperazone</w:t>
            </w:r>
            <w:proofErr w:type="spellEnd"/>
            <w:r w:rsidRPr="00283EC4">
              <w:rPr>
                <w:rFonts w:asciiTheme="minorHAnsi" w:hAnsiTheme="minorHAnsi" w:cstheme="minorHAnsi"/>
                <w:color w:val="000000"/>
                <w:sz w:val="18"/>
                <w:szCs w:val="18"/>
              </w:rPr>
              <w:t xml:space="preserve"> + Cefixime + Ceftriaxone</w:t>
            </w:r>
          </w:p>
        </w:tc>
        <w:tc>
          <w:tcPr>
            <w:tcW w:w="599" w:type="pct"/>
            <w:vAlign w:val="center"/>
          </w:tcPr>
          <w:p w14:paraId="6C72B9FB"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0855BB9D" w14:textId="5217004B"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4ACBD278" w14:textId="77777777" w:rsidTr="009E1008">
        <w:trPr>
          <w:trHeight w:val="20"/>
          <w:tblHeader/>
        </w:trPr>
        <w:tc>
          <w:tcPr>
            <w:tcW w:w="3360" w:type="pct"/>
            <w:vAlign w:val="center"/>
          </w:tcPr>
          <w:p w14:paraId="30CBF4B7"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Levofloxacin + Ceftazidime + Ceftriaxone + Metronidazole</w:t>
            </w:r>
          </w:p>
        </w:tc>
        <w:tc>
          <w:tcPr>
            <w:tcW w:w="599" w:type="pct"/>
            <w:vAlign w:val="center"/>
          </w:tcPr>
          <w:p w14:paraId="1B77DBC9"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6037768C" w14:textId="757D3655"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17CBEC4B" w14:textId="77777777" w:rsidTr="009E1008">
        <w:trPr>
          <w:trHeight w:val="20"/>
          <w:tblHeader/>
        </w:trPr>
        <w:tc>
          <w:tcPr>
            <w:tcW w:w="3360" w:type="pct"/>
            <w:tcBorders>
              <w:bottom w:val="single" w:sz="4" w:space="0" w:color="auto"/>
            </w:tcBorders>
            <w:vAlign w:val="center"/>
          </w:tcPr>
          <w:p w14:paraId="085617DE" w14:textId="77777777" w:rsidR="00461258" w:rsidRPr="00283EC4" w:rsidRDefault="00461258" w:rsidP="00AF33E9">
            <w:pPr>
              <w:spacing w:after="0" w:line="240" w:lineRule="auto"/>
              <w:contextualSpacing/>
              <w:rPr>
                <w:rFonts w:asciiTheme="minorHAnsi" w:hAnsiTheme="minorHAnsi" w:cstheme="minorHAnsi"/>
                <w:b/>
                <w:color w:val="000000"/>
                <w:sz w:val="18"/>
                <w:szCs w:val="18"/>
              </w:rPr>
            </w:pPr>
            <w:r w:rsidRPr="00283EC4">
              <w:rPr>
                <w:rFonts w:asciiTheme="minorHAnsi" w:eastAsia="Times New Roman" w:hAnsiTheme="minorHAnsi" w:cstheme="minorHAnsi"/>
                <w:b/>
                <w:sz w:val="18"/>
                <w:szCs w:val="18"/>
                <w:lang w:eastAsia="id-ID"/>
              </w:rPr>
              <w:t>Total antibiotic combination</w:t>
            </w:r>
          </w:p>
        </w:tc>
        <w:tc>
          <w:tcPr>
            <w:tcW w:w="599" w:type="pct"/>
            <w:tcBorders>
              <w:bottom w:val="single" w:sz="4" w:space="0" w:color="auto"/>
            </w:tcBorders>
            <w:vAlign w:val="center"/>
          </w:tcPr>
          <w:p w14:paraId="69DE640E" w14:textId="77777777" w:rsidR="00461258" w:rsidRPr="00283EC4" w:rsidRDefault="00461258" w:rsidP="00AF33E9">
            <w:pPr>
              <w:spacing w:after="0" w:line="240" w:lineRule="auto"/>
              <w:contextualSpacing/>
              <w:jc w:val="center"/>
              <w:rPr>
                <w:rFonts w:asciiTheme="minorHAnsi" w:hAnsiTheme="minorHAnsi" w:cstheme="minorHAnsi"/>
                <w:b/>
                <w:color w:val="000000"/>
                <w:sz w:val="18"/>
                <w:szCs w:val="18"/>
              </w:rPr>
            </w:pPr>
            <w:r w:rsidRPr="00283EC4">
              <w:rPr>
                <w:rFonts w:asciiTheme="minorHAnsi" w:hAnsiTheme="minorHAnsi" w:cstheme="minorHAnsi"/>
                <w:b/>
                <w:color w:val="000000"/>
                <w:sz w:val="18"/>
                <w:szCs w:val="18"/>
              </w:rPr>
              <w:t>30</w:t>
            </w:r>
          </w:p>
        </w:tc>
        <w:tc>
          <w:tcPr>
            <w:tcW w:w="1041" w:type="pct"/>
            <w:tcBorders>
              <w:bottom w:val="single" w:sz="4" w:space="0" w:color="auto"/>
            </w:tcBorders>
            <w:vAlign w:val="center"/>
          </w:tcPr>
          <w:p w14:paraId="13B16712" w14:textId="3FF582C1" w:rsidR="00461258" w:rsidRPr="00283EC4" w:rsidRDefault="00461258" w:rsidP="00AF33E9">
            <w:pPr>
              <w:spacing w:after="0" w:line="240" w:lineRule="auto"/>
              <w:contextualSpacing/>
              <w:jc w:val="center"/>
              <w:rPr>
                <w:rFonts w:asciiTheme="minorHAnsi" w:hAnsiTheme="minorHAnsi" w:cstheme="minorHAnsi"/>
                <w:b/>
                <w:color w:val="000000"/>
                <w:sz w:val="18"/>
                <w:szCs w:val="18"/>
              </w:rPr>
            </w:pPr>
            <w:r w:rsidRPr="00283EC4">
              <w:rPr>
                <w:rFonts w:asciiTheme="minorHAnsi" w:hAnsiTheme="minorHAnsi" w:cstheme="minorHAnsi"/>
                <w:b/>
                <w:color w:val="000000"/>
                <w:sz w:val="18"/>
                <w:szCs w:val="18"/>
              </w:rPr>
              <w:t>52</w:t>
            </w:r>
            <w:r w:rsidR="00A510F5" w:rsidRPr="00283EC4">
              <w:rPr>
                <w:rFonts w:asciiTheme="minorHAnsi" w:hAnsiTheme="minorHAnsi" w:cstheme="minorHAnsi"/>
                <w:b/>
                <w:color w:val="000000"/>
                <w:sz w:val="18"/>
                <w:szCs w:val="18"/>
              </w:rPr>
              <w:t>.</w:t>
            </w:r>
            <w:r w:rsidRPr="00283EC4">
              <w:rPr>
                <w:rFonts w:asciiTheme="minorHAnsi" w:hAnsiTheme="minorHAnsi" w:cstheme="minorHAnsi"/>
                <w:b/>
                <w:color w:val="000000"/>
                <w:sz w:val="18"/>
                <w:szCs w:val="18"/>
              </w:rPr>
              <w:t>63</w:t>
            </w:r>
          </w:p>
        </w:tc>
      </w:tr>
      <w:tr w:rsidR="00461258" w:rsidRPr="00283EC4" w14:paraId="7E04C946" w14:textId="77777777" w:rsidTr="009E1008">
        <w:trPr>
          <w:trHeight w:val="20"/>
          <w:tblHeader/>
        </w:trPr>
        <w:tc>
          <w:tcPr>
            <w:tcW w:w="3360" w:type="pct"/>
            <w:tcBorders>
              <w:top w:val="single" w:sz="4" w:space="0" w:color="auto"/>
            </w:tcBorders>
            <w:vAlign w:val="center"/>
          </w:tcPr>
          <w:p w14:paraId="0534A90E" w14:textId="77777777" w:rsidR="00461258" w:rsidRPr="00283EC4" w:rsidRDefault="00461258" w:rsidP="00AF33E9">
            <w:pPr>
              <w:spacing w:after="0" w:line="240" w:lineRule="auto"/>
              <w:contextualSpacing/>
              <w:rPr>
                <w:rFonts w:asciiTheme="minorHAnsi" w:hAnsiTheme="minorHAnsi" w:cstheme="minorHAnsi"/>
                <w:color w:val="000000"/>
                <w:sz w:val="18"/>
                <w:szCs w:val="18"/>
              </w:rPr>
            </w:pPr>
            <w:r w:rsidRPr="00283EC4">
              <w:rPr>
                <w:rFonts w:asciiTheme="minorHAnsi" w:eastAsia="Times New Roman" w:hAnsiTheme="minorHAnsi" w:cstheme="minorHAnsi"/>
                <w:b/>
                <w:i/>
                <w:sz w:val="18"/>
                <w:szCs w:val="18"/>
                <w:lang w:eastAsia="id-ID"/>
              </w:rPr>
              <w:t>Sequential Antibiotic Treatment</w:t>
            </w:r>
          </w:p>
        </w:tc>
        <w:tc>
          <w:tcPr>
            <w:tcW w:w="599" w:type="pct"/>
            <w:tcBorders>
              <w:top w:val="single" w:sz="4" w:space="0" w:color="auto"/>
            </w:tcBorders>
            <w:vAlign w:val="center"/>
          </w:tcPr>
          <w:p w14:paraId="50462D37"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p>
        </w:tc>
        <w:tc>
          <w:tcPr>
            <w:tcW w:w="1041" w:type="pct"/>
            <w:tcBorders>
              <w:top w:val="single" w:sz="4" w:space="0" w:color="auto"/>
            </w:tcBorders>
          </w:tcPr>
          <w:p w14:paraId="2F417A7D"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p>
        </w:tc>
      </w:tr>
      <w:tr w:rsidR="00461258" w:rsidRPr="00283EC4" w14:paraId="049C2A23" w14:textId="77777777" w:rsidTr="009E1008">
        <w:trPr>
          <w:trHeight w:val="20"/>
          <w:tblHeader/>
        </w:trPr>
        <w:tc>
          <w:tcPr>
            <w:tcW w:w="3360" w:type="pct"/>
            <w:vAlign w:val="center"/>
          </w:tcPr>
          <w:p w14:paraId="18AA87A8"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eastAsia="Times New Roman" w:hAnsiTheme="minorHAnsi" w:cstheme="minorHAnsi"/>
                <w:sz w:val="18"/>
                <w:szCs w:val="18"/>
                <w:lang w:eastAsia="id-ID"/>
              </w:rPr>
              <w:t xml:space="preserve">Levofloxacin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Meropenem</w:t>
            </w:r>
          </w:p>
        </w:tc>
        <w:tc>
          <w:tcPr>
            <w:tcW w:w="599" w:type="pct"/>
            <w:vAlign w:val="center"/>
          </w:tcPr>
          <w:p w14:paraId="6122EA02"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13782E7D" w14:textId="24479A95"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5C8384B9" w14:textId="77777777" w:rsidTr="009E1008">
        <w:trPr>
          <w:trHeight w:val="20"/>
          <w:tblHeader/>
        </w:trPr>
        <w:tc>
          <w:tcPr>
            <w:tcW w:w="3360" w:type="pct"/>
            <w:vAlign w:val="center"/>
          </w:tcPr>
          <w:p w14:paraId="76092115"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Ceftriaxone</w:t>
            </w:r>
            <w:r w:rsidRPr="00283EC4">
              <w:rPr>
                <w:rFonts w:asciiTheme="minorHAnsi" w:eastAsia="Times New Roman" w:hAnsiTheme="minorHAnsi" w:cstheme="minorHAnsi"/>
                <w:sz w:val="18"/>
                <w:szCs w:val="18"/>
                <w:lang w:eastAsia="id-ID"/>
              </w:rPr>
              <w:t xml:space="preserve">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Cefepime</w:t>
            </w:r>
          </w:p>
        </w:tc>
        <w:tc>
          <w:tcPr>
            <w:tcW w:w="599" w:type="pct"/>
            <w:vAlign w:val="center"/>
          </w:tcPr>
          <w:p w14:paraId="57470E73"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5C023A4D" w14:textId="693BDC31"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551597F1" w14:textId="77777777" w:rsidTr="009E1008">
        <w:trPr>
          <w:trHeight w:val="20"/>
          <w:tblHeader/>
        </w:trPr>
        <w:tc>
          <w:tcPr>
            <w:tcW w:w="3360" w:type="pct"/>
            <w:vAlign w:val="center"/>
          </w:tcPr>
          <w:p w14:paraId="3C878480"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Ceftriaxone</w:t>
            </w:r>
            <w:r w:rsidRPr="00283EC4">
              <w:rPr>
                <w:rFonts w:asciiTheme="minorHAnsi" w:eastAsia="Times New Roman" w:hAnsiTheme="minorHAnsi" w:cstheme="minorHAnsi"/>
                <w:sz w:val="18"/>
                <w:szCs w:val="18"/>
                <w:lang w:eastAsia="id-ID"/>
              </w:rPr>
              <w:t xml:space="preserve">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Cefixime</w:t>
            </w:r>
          </w:p>
        </w:tc>
        <w:tc>
          <w:tcPr>
            <w:tcW w:w="599" w:type="pct"/>
            <w:vAlign w:val="center"/>
          </w:tcPr>
          <w:p w14:paraId="35F2ED6E"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438B6103" w14:textId="6C00CB21"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1DA5FE02" w14:textId="77777777" w:rsidTr="009E1008">
        <w:trPr>
          <w:trHeight w:val="20"/>
          <w:tblHeader/>
        </w:trPr>
        <w:tc>
          <w:tcPr>
            <w:tcW w:w="3360" w:type="pct"/>
            <w:vAlign w:val="center"/>
          </w:tcPr>
          <w:p w14:paraId="3872C8F3" w14:textId="19F5D28C"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eastAsia="Times New Roman" w:hAnsiTheme="minorHAnsi" w:cstheme="minorHAnsi"/>
                <w:sz w:val="18"/>
                <w:szCs w:val="18"/>
                <w:lang w:eastAsia="id-ID"/>
              </w:rPr>
              <w:t xml:space="preserve">Levofloxacin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w:t>
            </w:r>
            <w:r w:rsidR="00407AC9" w:rsidRPr="00283EC4">
              <w:rPr>
                <w:rFonts w:asciiTheme="minorHAnsi" w:eastAsia="Times New Roman" w:hAnsiTheme="minorHAnsi" w:cstheme="minorHAnsi"/>
                <w:sz w:val="18"/>
                <w:szCs w:val="18"/>
                <w:lang w:eastAsia="id-ID"/>
              </w:rPr>
              <w:t>Ceftriaxone</w:t>
            </w:r>
          </w:p>
        </w:tc>
        <w:tc>
          <w:tcPr>
            <w:tcW w:w="599" w:type="pct"/>
            <w:vAlign w:val="center"/>
          </w:tcPr>
          <w:p w14:paraId="2693E84C"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1343732B" w14:textId="6D9F8909"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2E912F4D" w14:textId="77777777" w:rsidTr="009E1008">
        <w:trPr>
          <w:trHeight w:val="20"/>
          <w:tblHeader/>
        </w:trPr>
        <w:tc>
          <w:tcPr>
            <w:tcW w:w="3360" w:type="pct"/>
            <w:vAlign w:val="center"/>
          </w:tcPr>
          <w:p w14:paraId="040E4DD9"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eastAsia="Times New Roman" w:hAnsiTheme="minorHAnsi" w:cstheme="minorHAnsi"/>
                <w:sz w:val="18"/>
                <w:szCs w:val="18"/>
                <w:lang w:eastAsia="id-ID"/>
              </w:rPr>
              <w:t xml:space="preserve">Ciprofloxacin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w:t>
            </w:r>
            <w:r w:rsidRPr="00283EC4">
              <w:rPr>
                <w:rFonts w:asciiTheme="minorHAnsi" w:hAnsiTheme="minorHAnsi" w:cstheme="minorHAnsi"/>
                <w:color w:val="000000"/>
                <w:sz w:val="18"/>
                <w:szCs w:val="18"/>
              </w:rPr>
              <w:t>Ceftriaxone</w:t>
            </w:r>
            <w:r w:rsidRPr="00283EC4">
              <w:rPr>
                <w:rFonts w:asciiTheme="minorHAnsi" w:eastAsia="Times New Roman" w:hAnsiTheme="minorHAnsi" w:cstheme="minorHAnsi"/>
                <w:sz w:val="18"/>
                <w:szCs w:val="18"/>
                <w:lang w:eastAsia="id-ID"/>
              </w:rPr>
              <w:t xml:space="preserve">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Cefixime</w:t>
            </w:r>
          </w:p>
        </w:tc>
        <w:tc>
          <w:tcPr>
            <w:tcW w:w="599" w:type="pct"/>
            <w:vAlign w:val="center"/>
          </w:tcPr>
          <w:p w14:paraId="33CD3D5F"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63B8408C" w14:textId="21E75A39"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6D04E1D3" w14:textId="77777777" w:rsidTr="009E1008">
        <w:trPr>
          <w:trHeight w:val="20"/>
          <w:tblHeader/>
        </w:trPr>
        <w:tc>
          <w:tcPr>
            <w:tcW w:w="3360" w:type="pct"/>
            <w:vAlign w:val="center"/>
          </w:tcPr>
          <w:p w14:paraId="12D05ACB"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eastAsia="Times New Roman" w:hAnsiTheme="minorHAnsi" w:cstheme="minorHAnsi"/>
                <w:sz w:val="18"/>
                <w:szCs w:val="18"/>
                <w:lang w:eastAsia="id-ID"/>
              </w:rPr>
              <w:t xml:space="preserve">Levofloxacin </w:t>
            </w:r>
            <w:r w:rsidRPr="00283EC4">
              <w:rPr>
                <w:rFonts w:asciiTheme="minorHAnsi" w:eastAsia="Times New Roman" w:hAnsiTheme="minorHAnsi" w:cstheme="minorHAnsi"/>
                <w:sz w:val="18"/>
                <w:szCs w:val="18"/>
                <w:lang w:eastAsia="id-ID"/>
              </w:rPr>
              <w:sym w:font="Wingdings" w:char="F0E0"/>
            </w:r>
            <w:r w:rsidRPr="00283EC4">
              <w:rPr>
                <w:rFonts w:asciiTheme="minorHAnsi" w:hAnsiTheme="minorHAnsi" w:cstheme="minorHAnsi"/>
                <w:color w:val="000000"/>
                <w:sz w:val="18"/>
                <w:szCs w:val="18"/>
              </w:rPr>
              <w:t xml:space="preserve"> </w:t>
            </w:r>
            <w:proofErr w:type="spellStart"/>
            <w:r w:rsidRPr="00283EC4">
              <w:rPr>
                <w:rFonts w:asciiTheme="minorHAnsi" w:hAnsiTheme="minorHAnsi" w:cstheme="minorHAnsi"/>
                <w:color w:val="000000"/>
                <w:sz w:val="18"/>
                <w:szCs w:val="18"/>
              </w:rPr>
              <w:t>Cefoperazone</w:t>
            </w:r>
            <w:proofErr w:type="spellEnd"/>
            <w:r w:rsidRPr="00283EC4">
              <w:rPr>
                <w:rFonts w:asciiTheme="minorHAnsi" w:hAnsiTheme="minorHAnsi" w:cstheme="minorHAnsi"/>
                <w:color w:val="000000"/>
                <w:sz w:val="18"/>
                <w:szCs w:val="18"/>
              </w:rPr>
              <w:t>-Sulbactam</w:t>
            </w:r>
            <w:r w:rsidRPr="00283EC4">
              <w:rPr>
                <w:rFonts w:asciiTheme="minorHAnsi" w:eastAsia="Times New Roman" w:hAnsiTheme="minorHAnsi" w:cstheme="minorHAnsi"/>
                <w:sz w:val="18"/>
                <w:szCs w:val="18"/>
                <w:lang w:eastAsia="id-ID"/>
              </w:rPr>
              <w:t xml:space="preserve">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Cefuroxime</w:t>
            </w:r>
          </w:p>
        </w:tc>
        <w:tc>
          <w:tcPr>
            <w:tcW w:w="599" w:type="pct"/>
            <w:vAlign w:val="center"/>
          </w:tcPr>
          <w:p w14:paraId="5E37CB9A"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1D8AB315" w14:textId="2E89850B"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3716C4FD" w14:textId="77777777" w:rsidTr="009E1008">
        <w:trPr>
          <w:trHeight w:val="20"/>
          <w:tblHeader/>
        </w:trPr>
        <w:tc>
          <w:tcPr>
            <w:tcW w:w="3360" w:type="pct"/>
            <w:vAlign w:val="center"/>
          </w:tcPr>
          <w:p w14:paraId="6F585A81" w14:textId="77777777" w:rsidR="00461258" w:rsidRPr="00283EC4" w:rsidRDefault="00461258" w:rsidP="00AF33E9">
            <w:pPr>
              <w:spacing w:after="0" w:line="240" w:lineRule="auto"/>
              <w:ind w:left="313"/>
              <w:contextualSpacing/>
              <w:rPr>
                <w:rFonts w:asciiTheme="minorHAnsi" w:hAnsiTheme="minorHAnsi" w:cstheme="minorHAnsi"/>
                <w:color w:val="000000"/>
                <w:sz w:val="18"/>
                <w:szCs w:val="18"/>
              </w:rPr>
            </w:pPr>
            <w:r w:rsidRPr="00283EC4">
              <w:rPr>
                <w:rFonts w:asciiTheme="minorHAnsi" w:hAnsiTheme="minorHAnsi" w:cstheme="minorHAnsi"/>
                <w:color w:val="000000"/>
                <w:sz w:val="18"/>
                <w:szCs w:val="18"/>
              </w:rPr>
              <w:t>Ceftriaxone</w:t>
            </w:r>
            <w:r w:rsidRPr="00283EC4">
              <w:rPr>
                <w:rFonts w:asciiTheme="minorHAnsi" w:eastAsia="Times New Roman" w:hAnsiTheme="minorHAnsi" w:cstheme="minorHAnsi"/>
                <w:sz w:val="18"/>
                <w:szCs w:val="18"/>
                <w:lang w:eastAsia="id-ID"/>
              </w:rPr>
              <w:t xml:space="preserve">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Levofloxacin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Ceftazidime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Amikacin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Meropenem </w:t>
            </w:r>
            <w:r w:rsidRPr="00283EC4">
              <w:rPr>
                <w:rFonts w:asciiTheme="minorHAnsi" w:eastAsia="Times New Roman" w:hAnsiTheme="minorHAnsi" w:cstheme="minorHAnsi"/>
                <w:sz w:val="18"/>
                <w:szCs w:val="18"/>
                <w:lang w:eastAsia="id-ID"/>
              </w:rPr>
              <w:sym w:font="Wingdings" w:char="F0E0"/>
            </w:r>
            <w:r w:rsidRPr="00283EC4">
              <w:rPr>
                <w:rFonts w:asciiTheme="minorHAnsi" w:eastAsia="Times New Roman" w:hAnsiTheme="minorHAnsi" w:cstheme="minorHAnsi"/>
                <w:sz w:val="18"/>
                <w:szCs w:val="18"/>
                <w:lang w:eastAsia="id-ID"/>
              </w:rPr>
              <w:t xml:space="preserve"> Cefixime</w:t>
            </w:r>
          </w:p>
        </w:tc>
        <w:tc>
          <w:tcPr>
            <w:tcW w:w="599" w:type="pct"/>
            <w:vAlign w:val="center"/>
          </w:tcPr>
          <w:p w14:paraId="2B94F4A3" w14:textId="77777777"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p>
        </w:tc>
        <w:tc>
          <w:tcPr>
            <w:tcW w:w="1041" w:type="pct"/>
            <w:vAlign w:val="center"/>
          </w:tcPr>
          <w:p w14:paraId="0C79C8BD" w14:textId="6283D2C4" w:rsidR="00461258" w:rsidRPr="00283EC4" w:rsidRDefault="00461258" w:rsidP="00AF33E9">
            <w:pPr>
              <w:spacing w:after="0" w:line="240" w:lineRule="auto"/>
              <w:contextualSpacing/>
              <w:jc w:val="center"/>
              <w:rPr>
                <w:rFonts w:asciiTheme="minorHAnsi" w:hAnsiTheme="minorHAnsi" w:cstheme="minorHAnsi"/>
                <w:color w:val="000000"/>
                <w:sz w:val="18"/>
                <w:szCs w:val="18"/>
              </w:rPr>
            </w:pPr>
            <w:r w:rsidRPr="00283EC4">
              <w:rPr>
                <w:rFonts w:asciiTheme="minorHAnsi" w:hAnsiTheme="minorHAnsi" w:cstheme="minorHAnsi"/>
                <w:color w:val="000000"/>
                <w:sz w:val="18"/>
                <w:szCs w:val="18"/>
              </w:rPr>
              <w:t>1</w:t>
            </w:r>
            <w:r w:rsidR="00A510F5" w:rsidRPr="00283EC4">
              <w:rPr>
                <w:rFonts w:asciiTheme="minorHAnsi" w:hAnsiTheme="minorHAnsi" w:cstheme="minorHAnsi"/>
                <w:color w:val="000000"/>
                <w:sz w:val="18"/>
                <w:szCs w:val="18"/>
              </w:rPr>
              <w:t>.</w:t>
            </w:r>
            <w:r w:rsidRPr="00283EC4">
              <w:rPr>
                <w:rFonts w:asciiTheme="minorHAnsi" w:hAnsiTheme="minorHAnsi" w:cstheme="minorHAnsi"/>
                <w:color w:val="000000"/>
                <w:sz w:val="18"/>
                <w:szCs w:val="18"/>
              </w:rPr>
              <w:t>75</w:t>
            </w:r>
          </w:p>
        </w:tc>
      </w:tr>
      <w:tr w:rsidR="00461258" w:rsidRPr="00283EC4" w14:paraId="3D6EE58F" w14:textId="77777777" w:rsidTr="009E1008">
        <w:trPr>
          <w:trHeight w:val="20"/>
          <w:tblHeader/>
        </w:trPr>
        <w:tc>
          <w:tcPr>
            <w:tcW w:w="3360" w:type="pct"/>
            <w:tcBorders>
              <w:bottom w:val="single" w:sz="4" w:space="0" w:color="auto"/>
            </w:tcBorders>
          </w:tcPr>
          <w:p w14:paraId="7F8FFEF0" w14:textId="77777777" w:rsidR="00461258" w:rsidRPr="00283EC4" w:rsidRDefault="00461258" w:rsidP="00AF33E9">
            <w:pPr>
              <w:spacing w:after="0" w:line="240" w:lineRule="auto"/>
              <w:contextualSpacing/>
              <w:rPr>
                <w:rFonts w:asciiTheme="minorHAnsi" w:hAnsiTheme="minorHAnsi" w:cstheme="minorHAnsi"/>
                <w:b/>
                <w:color w:val="000000"/>
                <w:sz w:val="18"/>
                <w:szCs w:val="18"/>
              </w:rPr>
            </w:pPr>
            <w:r w:rsidRPr="00283EC4">
              <w:rPr>
                <w:rFonts w:asciiTheme="minorHAnsi" w:eastAsia="Times New Roman" w:hAnsiTheme="minorHAnsi" w:cstheme="minorHAnsi"/>
                <w:b/>
                <w:sz w:val="18"/>
                <w:szCs w:val="18"/>
                <w:lang w:eastAsia="id-ID"/>
              </w:rPr>
              <w:t xml:space="preserve">Total </w:t>
            </w:r>
            <w:r w:rsidRPr="00283EC4">
              <w:rPr>
                <w:rFonts w:asciiTheme="minorHAnsi" w:eastAsia="Times New Roman" w:hAnsiTheme="minorHAnsi" w:cstheme="minorHAnsi"/>
                <w:b/>
                <w:i/>
                <w:sz w:val="18"/>
                <w:szCs w:val="18"/>
                <w:lang w:eastAsia="id-ID"/>
              </w:rPr>
              <w:t>Sequential Antibiotic Treatment</w:t>
            </w:r>
          </w:p>
        </w:tc>
        <w:tc>
          <w:tcPr>
            <w:tcW w:w="599" w:type="pct"/>
            <w:tcBorders>
              <w:bottom w:val="single" w:sz="4" w:space="0" w:color="auto"/>
            </w:tcBorders>
            <w:vAlign w:val="center"/>
          </w:tcPr>
          <w:p w14:paraId="52344601" w14:textId="77777777" w:rsidR="00461258" w:rsidRPr="00283EC4" w:rsidRDefault="00461258" w:rsidP="00AF33E9">
            <w:pPr>
              <w:spacing w:after="0" w:line="240" w:lineRule="auto"/>
              <w:contextualSpacing/>
              <w:jc w:val="center"/>
              <w:rPr>
                <w:rFonts w:asciiTheme="minorHAnsi" w:hAnsiTheme="minorHAnsi" w:cstheme="minorHAnsi"/>
                <w:b/>
                <w:color w:val="000000"/>
                <w:sz w:val="18"/>
                <w:szCs w:val="18"/>
              </w:rPr>
            </w:pPr>
            <w:r w:rsidRPr="00283EC4">
              <w:rPr>
                <w:rFonts w:asciiTheme="minorHAnsi" w:hAnsiTheme="minorHAnsi" w:cstheme="minorHAnsi"/>
                <w:b/>
                <w:color w:val="000000"/>
                <w:sz w:val="18"/>
                <w:szCs w:val="18"/>
              </w:rPr>
              <w:t>7</w:t>
            </w:r>
          </w:p>
        </w:tc>
        <w:tc>
          <w:tcPr>
            <w:tcW w:w="1041" w:type="pct"/>
            <w:tcBorders>
              <w:bottom w:val="single" w:sz="4" w:space="0" w:color="auto"/>
            </w:tcBorders>
            <w:vAlign w:val="center"/>
          </w:tcPr>
          <w:p w14:paraId="3A6E8847" w14:textId="19FFF0AB" w:rsidR="00461258" w:rsidRPr="00283EC4" w:rsidRDefault="00461258" w:rsidP="00AF33E9">
            <w:pPr>
              <w:spacing w:after="0" w:line="240" w:lineRule="auto"/>
              <w:contextualSpacing/>
              <w:jc w:val="center"/>
              <w:rPr>
                <w:rFonts w:asciiTheme="minorHAnsi" w:hAnsiTheme="minorHAnsi" w:cstheme="minorHAnsi"/>
                <w:b/>
                <w:color w:val="000000"/>
                <w:sz w:val="18"/>
                <w:szCs w:val="18"/>
              </w:rPr>
            </w:pPr>
            <w:r w:rsidRPr="00283EC4">
              <w:rPr>
                <w:rFonts w:asciiTheme="minorHAnsi" w:hAnsiTheme="minorHAnsi" w:cstheme="minorHAnsi"/>
                <w:b/>
                <w:color w:val="000000"/>
                <w:sz w:val="18"/>
                <w:szCs w:val="18"/>
              </w:rPr>
              <w:t>12</w:t>
            </w:r>
            <w:r w:rsidR="00A510F5" w:rsidRPr="00283EC4">
              <w:rPr>
                <w:rFonts w:asciiTheme="minorHAnsi" w:hAnsiTheme="minorHAnsi" w:cstheme="minorHAnsi"/>
                <w:b/>
                <w:color w:val="000000"/>
                <w:sz w:val="18"/>
                <w:szCs w:val="18"/>
              </w:rPr>
              <w:t>.</w:t>
            </w:r>
            <w:r w:rsidRPr="00283EC4">
              <w:rPr>
                <w:rFonts w:asciiTheme="minorHAnsi" w:hAnsiTheme="minorHAnsi" w:cstheme="minorHAnsi"/>
                <w:b/>
                <w:color w:val="000000"/>
                <w:sz w:val="18"/>
                <w:szCs w:val="18"/>
              </w:rPr>
              <w:t>28</w:t>
            </w:r>
          </w:p>
        </w:tc>
      </w:tr>
      <w:tr w:rsidR="00461258" w:rsidRPr="00283EC4" w14:paraId="14E11E97" w14:textId="77777777" w:rsidTr="009E1008">
        <w:trPr>
          <w:trHeight w:val="20"/>
          <w:tblHeader/>
        </w:trPr>
        <w:tc>
          <w:tcPr>
            <w:tcW w:w="3360" w:type="pct"/>
            <w:tcBorders>
              <w:top w:val="single" w:sz="4" w:space="0" w:color="auto"/>
              <w:bottom w:val="single" w:sz="4" w:space="0" w:color="auto"/>
            </w:tcBorders>
          </w:tcPr>
          <w:p w14:paraId="626969A7" w14:textId="77777777" w:rsidR="00461258" w:rsidRPr="00283EC4" w:rsidRDefault="00461258" w:rsidP="00AF33E9">
            <w:pPr>
              <w:spacing w:after="0" w:line="240" w:lineRule="auto"/>
              <w:contextualSpacing/>
              <w:rPr>
                <w:rFonts w:asciiTheme="minorHAnsi" w:hAnsiTheme="minorHAnsi" w:cstheme="minorHAnsi"/>
                <w:color w:val="000000"/>
                <w:sz w:val="18"/>
                <w:szCs w:val="18"/>
              </w:rPr>
            </w:pPr>
            <w:r w:rsidRPr="00283EC4">
              <w:rPr>
                <w:rFonts w:asciiTheme="minorHAnsi" w:hAnsiTheme="minorHAnsi" w:cstheme="minorHAnsi"/>
                <w:b/>
                <w:color w:val="000000"/>
                <w:sz w:val="18"/>
                <w:szCs w:val="18"/>
              </w:rPr>
              <w:t xml:space="preserve">Total </w:t>
            </w:r>
          </w:p>
        </w:tc>
        <w:tc>
          <w:tcPr>
            <w:tcW w:w="599" w:type="pct"/>
            <w:tcBorders>
              <w:top w:val="single" w:sz="4" w:space="0" w:color="auto"/>
              <w:bottom w:val="single" w:sz="4" w:space="0" w:color="auto"/>
            </w:tcBorders>
          </w:tcPr>
          <w:p w14:paraId="0107092F" w14:textId="77777777" w:rsidR="00461258" w:rsidRPr="00283EC4" w:rsidRDefault="00461258" w:rsidP="00AF33E9">
            <w:pPr>
              <w:spacing w:after="0" w:line="240" w:lineRule="auto"/>
              <w:contextualSpacing/>
              <w:jc w:val="center"/>
              <w:rPr>
                <w:rFonts w:asciiTheme="minorHAnsi" w:hAnsiTheme="minorHAnsi" w:cstheme="minorHAnsi"/>
                <w:b/>
                <w:bCs/>
                <w:color w:val="000000"/>
                <w:sz w:val="18"/>
                <w:szCs w:val="18"/>
              </w:rPr>
            </w:pPr>
            <w:r w:rsidRPr="00283EC4">
              <w:rPr>
                <w:rFonts w:asciiTheme="minorHAnsi" w:hAnsiTheme="minorHAnsi" w:cstheme="minorHAnsi"/>
                <w:b/>
                <w:bCs/>
                <w:color w:val="000000"/>
                <w:sz w:val="18"/>
                <w:szCs w:val="18"/>
              </w:rPr>
              <w:t>57</w:t>
            </w:r>
          </w:p>
        </w:tc>
        <w:tc>
          <w:tcPr>
            <w:tcW w:w="1041" w:type="pct"/>
            <w:tcBorders>
              <w:top w:val="single" w:sz="4" w:space="0" w:color="auto"/>
              <w:bottom w:val="single" w:sz="4" w:space="0" w:color="auto"/>
            </w:tcBorders>
          </w:tcPr>
          <w:p w14:paraId="05F7F791" w14:textId="77777777" w:rsidR="00461258" w:rsidRPr="00283EC4" w:rsidRDefault="00461258" w:rsidP="00AF33E9">
            <w:pPr>
              <w:spacing w:after="0" w:line="240" w:lineRule="auto"/>
              <w:contextualSpacing/>
              <w:jc w:val="center"/>
              <w:rPr>
                <w:rFonts w:asciiTheme="minorHAnsi" w:hAnsiTheme="minorHAnsi" w:cstheme="minorHAnsi"/>
                <w:b/>
                <w:bCs/>
                <w:color w:val="000000"/>
                <w:sz w:val="18"/>
                <w:szCs w:val="18"/>
              </w:rPr>
            </w:pPr>
            <w:r w:rsidRPr="00283EC4">
              <w:rPr>
                <w:rFonts w:asciiTheme="minorHAnsi" w:hAnsiTheme="minorHAnsi" w:cstheme="minorHAnsi"/>
                <w:b/>
                <w:bCs/>
                <w:color w:val="000000"/>
                <w:sz w:val="18"/>
                <w:szCs w:val="18"/>
              </w:rPr>
              <w:t>100</w:t>
            </w:r>
          </w:p>
        </w:tc>
      </w:tr>
    </w:tbl>
    <w:p w14:paraId="27D5A0E9" w14:textId="610E23B5" w:rsidR="00E67574" w:rsidRPr="00C94A70" w:rsidRDefault="00E67574" w:rsidP="00903364">
      <w:pPr>
        <w:spacing w:after="0"/>
        <w:ind w:firstLine="720"/>
        <w:jc w:val="both"/>
        <w:rPr>
          <w:rFonts w:asciiTheme="minorHAnsi" w:hAnsiTheme="minorHAnsi" w:cstheme="minorHAnsi"/>
          <w:sz w:val="20"/>
          <w:szCs w:val="20"/>
          <w:lang w:val="en-ID" w:eastAsia="zh-TW"/>
        </w:rPr>
      </w:pPr>
      <w:r w:rsidRPr="00C94A70">
        <w:rPr>
          <w:rFonts w:asciiTheme="minorHAnsi" w:hAnsiTheme="minorHAnsi" w:cstheme="minorHAnsi"/>
          <w:sz w:val="20"/>
          <w:szCs w:val="20"/>
        </w:rPr>
        <w:lastRenderedPageBreak/>
        <w:t xml:space="preserve">According to </w:t>
      </w:r>
      <w:r w:rsidRPr="00283EC4">
        <w:rPr>
          <w:rFonts w:asciiTheme="minorHAnsi" w:hAnsiTheme="minorHAnsi" w:cstheme="minorHAnsi"/>
          <w:b/>
          <w:bCs/>
          <w:sz w:val="20"/>
          <w:szCs w:val="20"/>
        </w:rPr>
        <w:t>Table 1</w:t>
      </w:r>
      <w:r w:rsidRPr="00C94A70">
        <w:rPr>
          <w:rFonts w:asciiTheme="minorHAnsi" w:hAnsiTheme="minorHAnsi" w:cstheme="minorHAnsi"/>
          <w:sz w:val="20"/>
          <w:szCs w:val="20"/>
        </w:rPr>
        <w:t>, most of the sepsis patients are male patients (57.89%), which aligns with emerging epidemiological evidence showing that men have a higher incidence of sepsis than women. A large prospective cohort study using UK Biobank data reported that the age-</w:t>
      </w:r>
      <w:r w:rsidR="00B4167F" w:rsidRPr="00C94A70">
        <w:rPr>
          <w:rFonts w:asciiTheme="minorHAnsi" w:hAnsiTheme="minorHAnsi" w:cstheme="minorHAnsi"/>
          <w:sz w:val="20"/>
          <w:szCs w:val="20"/>
        </w:rPr>
        <w:t>standardized</w:t>
      </w:r>
      <w:r w:rsidRPr="00C94A70">
        <w:rPr>
          <w:rFonts w:asciiTheme="minorHAnsi" w:hAnsiTheme="minorHAnsi" w:cstheme="minorHAnsi"/>
          <w:sz w:val="20"/>
          <w:szCs w:val="20"/>
        </w:rPr>
        <w:t xml:space="preserve"> risk of incident sepsis </w:t>
      </w:r>
      <w:r w:rsidR="00B4167F" w:rsidRPr="00C94A70">
        <w:rPr>
          <w:rFonts w:asciiTheme="minorHAnsi" w:hAnsiTheme="minorHAnsi" w:cstheme="minorHAnsi"/>
          <w:sz w:val="20"/>
          <w:szCs w:val="20"/>
        </w:rPr>
        <w:t>hospitalization</w:t>
      </w:r>
      <w:r w:rsidRPr="00C94A70">
        <w:rPr>
          <w:rFonts w:asciiTheme="minorHAnsi" w:hAnsiTheme="minorHAnsi" w:cstheme="minorHAnsi"/>
          <w:sz w:val="20"/>
          <w:szCs w:val="20"/>
        </w:rPr>
        <w:t xml:space="preserve"> was higher in men than in women (40.2 vs 31.2 per 10 000 person-years; HR 1.26, 95% CI 1.23–1.29), indicating that male sex is associated with a greater likelihood of developing sepsis</w:t>
      </w:r>
      <w:r w:rsidR="00E95E53" w:rsidRPr="00C94A70">
        <w:rPr>
          <w:rFonts w:asciiTheme="minorHAnsi" w:hAnsiTheme="minorHAnsi" w:cstheme="minorHAnsi"/>
          <w:sz w:val="20"/>
          <w:szCs w:val="20"/>
        </w:rPr>
        <w:t>.</w:t>
      </w:r>
      <w:r w:rsidRPr="00C94A70">
        <w:rPr>
          <w:rFonts w:asciiTheme="minorHAnsi" w:hAnsiTheme="minorHAnsi" w:cstheme="minorHAnsi"/>
          <w:sz w:val="20"/>
          <w:szCs w:val="20"/>
        </w:rPr>
        <w:fldChar w:fldCharType="begin" w:fldLock="1"/>
      </w:r>
      <w:r w:rsidR="00AC3293">
        <w:rPr>
          <w:rFonts w:asciiTheme="minorHAnsi" w:hAnsiTheme="minorHAnsi" w:cstheme="minorHAnsi"/>
          <w:sz w:val="20"/>
          <w:szCs w:val="20"/>
        </w:rPr>
        <w:instrText>ADDIN CSL_CITATION {"citationItems":[{"id":"ITEM-1","itemData":{"DOI":"10.1093/infdis/jiaf122","ISSN":"0022-1899","abstract":"Sepsis is a leading cause of death worldwide. The presence of most chronic conditions and other lifestyle-related risk factors increase sepsis risk. Whether there are sex differences in risk factors associated with sepsis hospitalization is unknown.A prospective cohort study included participants aged 40–69 years recruited to the UK Biobank between 2006 and 2010. Sepsis was identified from hospitalization records. Poisson regression was used to estimate sex-specific incidence. Cox proportional hazards models were used to estimate hazard ratios (HRs) and the women-to-men ratio of HRs (RHR) with 95% confidence intervals (CIs) for risk factors associated with an incident sepsis hospitalization.Of 490 783 participants, 21 468 (47.6% women) experienced an incident sepsis hospitalization. Age-standardized risk was higher in men than in women (40.2 vs 31.2 per 10 000 person-years; HR, 1.26 [95% CI, 1.23–1.29]). Chronic obstructive pulmonary disease (COPD) conferred the highest risk for sepsis hospitalization, with excess risk in women (RHR, 1.23 [95% CI, 1.10–1.38]). Dyslipidemia (RHR, 1.08 [95% CI, 1.02–1.16]), myocardial infarction (1.22 [1.05–1.41]), and smoking (1.19 [1.09–1.29]) were associated with excess risk of sepsis hospitalization in women, compared with men. Dementia was associated with more than twice the risk of sepsis hospitalization in men (HR, 2.21 [95% CI, 1.37–3.55]).The risk of sepsis hospitalization was higher in the presence of most risk factors, with greater effects in women with a history of COPD, dyslipidemia, myocardial infarction, and smoking. Incorporating sex-specific risk factors in risk prediction modeling may facilitate targeted prevention efforts and support earlier recognition and treatment.","author":[{"dropping-particle":"","family":"Low","given":"Gary K K","non-dropping-particle":"","parse-names":false,"suffix":""},{"dropping-particle":"","family":"Harris","given":"Katie","non-dropping-particle":"","parse-names":false,"suffix":""},{"dropping-particle":"","family":"Woodward","given":"Mark","non-dropping-particle":"","parse-names":false,"suffix":""},{"dropping-particle":"","family":"Thompson","given":"Kelly J","non-dropping-particle":"","parse-names":false,"suffix":""}],"container-title":"The Journal of Infectious Diseases","id":"ITEM-1","issue":"2","issued":{"date-parts":[["2025","8"]]},"page":"393-400","title":"Sex Differences in Risk Factors for Incident Sepsis Hospitalizations: A Prospective Cohort Study Using the UK Biobank","type":"article-journal","volume":"232"},"uris":["http://www.mendeley.com/documents/?uuid=3401d3af-6a02-49eb-ac81-6b8b78c73fed","http://www.mendeley.com/documents/?uuid=29b439be-8150-472a-bf7e-91de5307afeb"]}],"mendeley":{"formattedCitation":"&lt;sup&gt;22&lt;/sup&gt;","plainTextFormattedCitation":"22","previouslyFormattedCitation":"&lt;sup&gt;22&lt;/sup&gt;"},"properties":{"noteIndex":0},"schema":"https://github.com/citation-style-language/schema/raw/master/csl-citation.json"}</w:instrText>
      </w:r>
      <w:r w:rsidRPr="00C94A70">
        <w:rPr>
          <w:rFonts w:asciiTheme="minorHAnsi" w:hAnsiTheme="minorHAnsi" w:cstheme="minorHAnsi"/>
          <w:sz w:val="20"/>
          <w:szCs w:val="20"/>
        </w:rPr>
        <w:fldChar w:fldCharType="separate"/>
      </w:r>
      <w:r w:rsidR="00D81ADC" w:rsidRPr="00C94A70">
        <w:rPr>
          <w:rFonts w:asciiTheme="minorHAnsi" w:hAnsiTheme="minorHAnsi" w:cstheme="minorHAnsi"/>
          <w:noProof/>
          <w:sz w:val="20"/>
          <w:szCs w:val="20"/>
          <w:vertAlign w:val="superscript"/>
        </w:rPr>
        <w:t>22</w:t>
      </w:r>
      <w:r w:rsidRPr="00C94A70">
        <w:rPr>
          <w:rFonts w:asciiTheme="minorHAnsi" w:hAnsiTheme="minorHAnsi" w:cstheme="minorHAnsi"/>
          <w:sz w:val="20"/>
          <w:szCs w:val="20"/>
        </w:rPr>
        <w:fldChar w:fldCharType="end"/>
      </w:r>
      <w:r w:rsidRPr="00C94A70">
        <w:rPr>
          <w:rFonts w:asciiTheme="minorHAnsi" w:hAnsiTheme="minorHAnsi" w:cstheme="minorHAnsi"/>
          <w:sz w:val="20"/>
          <w:szCs w:val="20"/>
        </w:rPr>
        <w:t xml:space="preserve"> </w:t>
      </w:r>
      <w:r w:rsidRPr="00C94A70">
        <w:rPr>
          <w:rFonts w:asciiTheme="minorHAnsi" w:hAnsiTheme="minorHAnsi" w:cstheme="minorHAnsi"/>
          <w:sz w:val="20"/>
          <w:szCs w:val="20"/>
          <w:lang w:val="en-ID"/>
        </w:rPr>
        <w:t>Other large cohort analyses have shown that men are more likely to develop sepsis than women. A population</w:t>
      </w:r>
      <w:r w:rsidRPr="00C94A70">
        <w:rPr>
          <w:rFonts w:ascii="Cambria Math" w:hAnsi="Cambria Math" w:cs="Cambria Math"/>
          <w:sz w:val="20"/>
          <w:szCs w:val="20"/>
          <w:lang w:val="en-ID"/>
        </w:rPr>
        <w:t>‑</w:t>
      </w:r>
      <w:r w:rsidRPr="00C94A70">
        <w:rPr>
          <w:rFonts w:asciiTheme="minorHAnsi" w:hAnsiTheme="minorHAnsi" w:cstheme="minorHAnsi"/>
          <w:sz w:val="20"/>
          <w:szCs w:val="20"/>
          <w:lang w:val="en-ID"/>
        </w:rPr>
        <w:t>based cohort study from Germany, including 159,684 sepsis patients, reported that 52.5% were male, confirming a male predominance in sepsis incidence. Biological mechanisms also contribute to this pattern</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{"citationItems":[{"id":"ITEM-1","itemData":{"DOI":"10.1186/s13054-025-05657-4","ISSN":"1466609X","PMID":"41013702","abstract":"Importance: Sepsis is a major global health concern influenced by both biological sex and socially constructed gender roles, which can affect disease susceptibility, progression, treatment and outcomes. Evidence on sex-specific differences in sepsis often lacks age-specific analysis, despite known interactions between sex, age, and immune function. Objective: We aimed to investigate age-dependent associations between sex and mortality as well as long-term outcomes among sepsis survivors after hospitalization. Design, setting, and participants: This retrospective, population-based cohort study based on nationwide health claims data from 2009 to 2017 of 23.0 million beneficiaries of a large German health insurance provider. Patients aged 15 years and older with incident hospital-treated sepsis identified by ICD-10-GM codes in 2013 to 2014 were included. Exposures: Female and male sex. Main outcomes and measures: Differences in 12-months mortality, medical, psychological and cognitive diagnoses, as well as dependency on nursing care by sex and age were analyzed using generalized additive models including sex*age interaction effects. We report average marginal effects (AME) for sex and age as estimates of the adjusted marginal increase or decrease of the event rate of outcomes. Results: We included 159,684 sepsis patients in 2013/2014, of which 75,809 (47.5%) were female and 83,875 (52.5%) were male. The average marginal hospital and 12-months mortality over the observed age distribution was AME = − 2.8% (95% CI, − 3.2%, − 2.3%, P &lt;.001) and AME = − 5.4% (95% CI, − 5.9%, − 4.9%, P &lt;.001) lower in females, respectively. Significant female survival benefits were predominantly found beyond age 44 (hospital mortality) and age 47 (12-months mortality). Females were also less often affected by cognitive impairments, but more often experienced psychological and physical impairments as well as nursing care dependency with differential associations observable across the lifespan. Conclusion and relevance: Sepsis long-term outcomes appear to be influenced by a complex interaction between age and sex. While our study focuses on these factors, it is important to acknowledge that observed associations cannot be attributed to biological sex alone, as numerous additional factors - directly or indirectly related to sex- may also contribute. These findings underscore the importance of incorporating sex-specific considerations into sepsis care and post-acute support strategi…","author":[{"dropping-particle":"","family":"Rose","given":"Norman","non-dropping-particle":"","parse-names":false,"suffix":""},{"dropping-particle":"","family":"Agrama","given":"Islam","non-dropping-particle":"","parse-names":false,"suffix":""},{"dropping-particle":"","family":"Nachtigall","given":"Irit","non-dropping-particle":"","parse-names":false,"suffix":""},{"dropping-particle":"","family":"Pletz","given":"Mathias W.","non-dropping-particle":"","parse-names":false,"suffix":""},{"dropping-particle":"","family":"Rosendahl","given":"Jenny","non-dropping-particle":"","parse-names":false,"suffix":""},{"dropping-particle":"","family":"Chung","given":"Ha Yeun","non-dropping-particle":"","parse-names":false,"suffix":""},{"dropping-particle":"","family":"Zielinski","given":"Christina E.","non-dropping-particle":"","parse-names":false,"suffix":""},{"dropping-particle":"","family":"Dudziak","given":"Diana","non-dropping-particle":"","parse-names":false,"suffix":""},{"dropping-particle":"","family":"Spoden","given":"Melissa","non-dropping-particle":"","parse-names":false,"suffix":""},{"dropping-particle":"","family":"Dröge","given":"Patrik","non-dropping-particle":"","parse-names":false,"suffix":""},{"dropping-particle":"","family":"Hagel","given":"Stefan","non-dropping-particle":"","parse-names":false,"suffix":""},{"dropping-particle":"","family":"Fleischmann-Struzek","given":"Carolin","non-dropping-particle":"","parse-names":false,"suffix":""}],"container-title":"Critical Care","id":"ITEM-1","issue":"1","issued":{"date-parts":[["2025"]]},"title":"Sex differences in sepsis outcomes across the lifespan: a population-based cohort study in Germany","type":"article-journal","volume":"29"},"uris":["http://www.mendeley.com/documents/?uuid=8d8be966-6987-41b6-ac01-bc06f5682da4","http://www.mendeley.com/documents/?uuid=e9fca9ee-ff52-416a-bf53-a2cd4d435626"]}],"mendeley":{"formattedCitation":"&lt;sup&gt;23&lt;/sup&gt;","plainTextFormattedCitation":"23","previouslyFormattedCitation":"&lt;sup&gt;23&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23</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A 2024 review on sex differences in sepsis explains that </w:t>
      </w:r>
      <w:proofErr w:type="spellStart"/>
      <w:r w:rsidRPr="00C94A70">
        <w:rPr>
          <w:rFonts w:asciiTheme="minorHAnsi" w:hAnsiTheme="minorHAnsi" w:cstheme="minorHAnsi"/>
          <w:sz w:val="20"/>
          <w:szCs w:val="20"/>
          <w:lang w:val="en-ID"/>
        </w:rPr>
        <w:t>estrogen</w:t>
      </w:r>
      <w:proofErr w:type="spellEnd"/>
      <w:r w:rsidRPr="00C94A70">
        <w:rPr>
          <w:rFonts w:asciiTheme="minorHAnsi" w:hAnsiTheme="minorHAnsi" w:cstheme="minorHAnsi"/>
          <w:sz w:val="20"/>
          <w:szCs w:val="20"/>
          <w:lang w:val="en-ID"/>
        </w:rPr>
        <w:t xml:space="preserve"> enhances inflammatory and immune responses, whereas testosterone exerts immunosuppressive effects, thereby influencing susceptibility to infection. These hormonal differences shape how males and females respond to pathogens and help explain why men are more frequently affected by sepsis</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{"citationItems":[{"id":"ITEM-1","itemData":{"DOI":"10.4266/acc.2024.00591","ISSN":"25866060","abstract":"Gender disparities in intensive care unit (ICU) treatment approaches and outcomes are evident. However, clinicians often pay little attention to the importance of biological sex and sociocultural gender in their treatment courses. Previous studies have reported that differences between sexes or genders can significantly affect the manifestation of diseases, diagnosis, clinicians' treatment decisions, scope of treatment, and treatment outcomes in the intensive care field. In addition, numerous reports have suggested that immunomodulatory effects of sex hormones and differences in gene expression from X chromosomes between genders might play a significant role in treatment outcomes of various diseases. However, results from clinical studies are conflicting. Recently, the need for customized treatment based on physical, physiological, and genetic differences between females and males and sociocultural characteristics of society have been increasingly emphasized. However, interest in and research into this field are remarkably lacking in Asian countries, including South Korea. Through this review, we hope to enhance our awareness of the importance of sex and gender in intensive care treatment and research by briefly summarizing several principal issues, mainly focusing on sex and sex hormone-based outcomes in patients admitted to the ICU with sepsis and septic shock.","author":[{"dropping-particle":"","family":"Min","given":"Seung Yeon","non-dropping-particle":"","parse-names":false,"suffix":""},{"dropping-particle":"","family":"Yong","given":"Ho Jin","non-dropping-particle":"","parse-names":false,"suffix":""},{"dropping-particle":"","family":"Kim","given":"Dohhyung","non-dropping-particle":"","parse-names":false,"suffix":""}],"container-title":"Acute and Critical Care","id":"ITEM-1","issue":"2","issued":{"date-parts":[["2024"]]},"page":"207-213","title":"Sex or gender differences in treatment outcomes of sepsis and septic shock","type":"article-journal","volume":"39"},"uris":["http://www.mendeley.com/documents/?uuid=10f874d9-1b72-4d7a-8589-799ecd4d096c","http://www.mendeley.com/documents/?uuid=51be951e-fda1-44b6-923e-ecf42cbe12ee"]}],"mendeley":{"formattedCitation":"&lt;sup&gt;24&lt;/sup&gt;","plainTextFormattedCitation":"24","previouslyFormattedCitation":"&lt;sup&gt;24&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eastAsia="zh-TW"/>
        </w:rPr>
        <w:t>24</w:t>
      </w:r>
      <w:r w:rsidRPr="00C94A70">
        <w:rPr>
          <w:rFonts w:asciiTheme="minorHAnsi" w:hAnsiTheme="minorHAnsi" w:cstheme="minorHAnsi"/>
          <w:sz w:val="20"/>
          <w:szCs w:val="20"/>
          <w:lang w:val="en-ID"/>
        </w:rPr>
        <w:fldChar w:fldCharType="end"/>
      </w:r>
    </w:p>
    <w:p w14:paraId="498AD858" w14:textId="3A12FB7C" w:rsidR="00E67574" w:rsidRPr="00C94A70" w:rsidRDefault="00E67574" w:rsidP="00903364">
      <w:pPr>
        <w:spacing w:after="0"/>
        <w:ind w:firstLine="720"/>
        <w:jc w:val="both"/>
        <w:rPr>
          <w:rFonts w:asciiTheme="minorHAnsi" w:hAnsiTheme="minorHAnsi" w:cstheme="minorHAnsi"/>
          <w:sz w:val="20"/>
          <w:szCs w:val="20"/>
          <w:lang w:val="en-ID"/>
        </w:rPr>
      </w:pPr>
      <w:r w:rsidRPr="00004ADB">
        <w:rPr>
          <w:rFonts w:asciiTheme="minorHAnsi" w:hAnsiTheme="minorHAnsi" w:cstheme="minorHAnsi"/>
          <w:b/>
          <w:bCs/>
          <w:sz w:val="20"/>
          <w:szCs w:val="20"/>
          <w:lang w:val="en-ID" w:eastAsia="zh-TW"/>
        </w:rPr>
        <w:t>Table 2</w:t>
      </w:r>
      <w:r w:rsidRPr="00C94A70">
        <w:rPr>
          <w:rFonts w:asciiTheme="minorHAnsi" w:hAnsiTheme="minorHAnsi" w:cstheme="minorHAnsi"/>
          <w:sz w:val="20"/>
          <w:szCs w:val="20"/>
          <w:lang w:val="en-ID" w:eastAsia="zh-TW"/>
        </w:rPr>
        <w:t xml:space="preserve"> shows that most sepsis patients in the ICU received combination therapy (52.63%), followed by monotherapy (35.09%) and a smaller proportion undergoing sequential antibiotic changes (12.28%). The dominant agents across all groups are third- and fourth-generation cephalosporins (ceftriaxone, </w:t>
      </w:r>
      <w:proofErr w:type="spellStart"/>
      <w:r w:rsidRPr="00C94A70">
        <w:rPr>
          <w:rFonts w:asciiTheme="minorHAnsi" w:hAnsiTheme="minorHAnsi" w:cstheme="minorHAnsi"/>
          <w:sz w:val="20"/>
          <w:szCs w:val="20"/>
          <w:lang w:val="en-ID" w:eastAsia="zh-TW"/>
        </w:rPr>
        <w:t>cefoperazone</w:t>
      </w:r>
      <w:proofErr w:type="spellEnd"/>
      <w:r w:rsidRPr="00C94A70">
        <w:rPr>
          <w:rFonts w:asciiTheme="minorHAnsi" w:hAnsiTheme="minorHAnsi" w:cstheme="minorHAnsi"/>
          <w:sz w:val="20"/>
          <w:szCs w:val="20"/>
          <w:lang w:val="en-ID" w:eastAsia="zh-TW"/>
        </w:rPr>
        <w:t xml:space="preserve">, cefepime, ceftazidime, cefotaxime, cefixime), fluoroquinolones (levofloxacin, moxifloxacin, ciprofloxacin), and </w:t>
      </w:r>
      <w:r w:rsidRPr="00C94A70">
        <w:rPr>
          <w:rFonts w:asciiTheme="minorHAnsi" w:hAnsiTheme="minorHAnsi" w:cstheme="minorHAnsi"/>
          <w:sz w:val="20"/>
          <w:szCs w:val="20"/>
          <w:lang w:val="en-ID"/>
        </w:rPr>
        <w:t>a limited use of carbapenems (meropenem). This pattern suggests an empirical strategy centred on broad-spectrum β-lactams and fluoroquinolones, with carbapenems reserved mainly for escalation rather than first-line use. Combination therapy is usually chosen to broaden the spectrum of coverage during polymicrobial infections. However, the recent evidence showed that there was no significant difference in clinical cure at day 7 or in mortality at days 7 and 28 between empirical combination and monotherapy</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{"citationItems":[{"id":"ITEM-1","itemData":{"ISSN":"0883-9441","author":[{"dropping-particle":"","family":"Tanha","given":"Nima","non-dropping-particle":"","parse-names":false,"suffix":""},{"dropping-particle":"","family":"Lejbman","given":"Ilja Areskog","non-dropping-particle":"","parse-names":false,"suffix":""},{"dropping-particle":"","family":"Bus","given":"Liesbet","non-dropping-particle":"De","parse-names":false,"suffix":""},{"dropping-particle":"","family":"Pascale","given":"Gennaro","non-dropping-particle":"De","parse-names":false,"suffix":""},{"dropping-particle":"","family":"Garnacho-Montero","given":"José","non-dropping-particle":"","parse-names":false,"suffix":""},{"dropping-particle":"","family":"Leone","given":"Marc","non-dropping-particle":"","parse-names":false,"suffix":""},{"dropping-particle":"","family":"Fujitan","given":"Shigeki","non-dropping-particle":"","parse-names":false,"suffix":""},{"dropping-particle":"","family":"Waele","given":"Jan J","non-dropping-particle":"De","parse-names":false,"suffix":""},{"dropping-particle":"","family":"Torisson","given":"Gustav","non-dropping-particle":"","parse-names":false,"suffix":""},{"dropping-particle":"","family":"Sjövall","given":"Fredrik","non-dropping-particle":"","parse-names":false,"suffix":""}],"container-title":"Journal of Critical Care","id":"ITEM-1","issued":{"date-parts":[["2024"]]},"page":"154501","publisher":"Elsevier","title":"Clinical outcomes in combination versus mono antibiotic therapy in ICU admitted patients with a suspected infection-A substudy of the DIANA study","type":"article-journal","volume":"80"},"uris":["http://www.mendeley.com/documents/?uuid=70cb6717-d090-4ec4-b0b5-a7b2f79f7683","http://www.mendeley.com/documents/?uuid=3f1cb1b0-c132-4f3c-8ebb-66b0c9c90b66"]}],"mendeley":{"formattedCitation":"&lt;sup&gt;25&lt;/sup&gt;","plainTextFormattedCitation":"25","previouslyFormattedCitation":"&lt;sup&gt;25&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25</w:t>
      </w:r>
      <w:r w:rsidRPr="00C94A70">
        <w:rPr>
          <w:rFonts w:asciiTheme="minorHAnsi" w:hAnsiTheme="minorHAnsi" w:cstheme="minorHAnsi"/>
          <w:sz w:val="20"/>
          <w:szCs w:val="20"/>
          <w:lang w:val="en-ID"/>
        </w:rPr>
        <w:fldChar w:fldCharType="end"/>
      </w:r>
    </w:p>
    <w:p w14:paraId="6E9A8FAB" w14:textId="655F6FBD" w:rsidR="00E67574" w:rsidRPr="00C94A70" w:rsidRDefault="00E67574" w:rsidP="00903364">
      <w:pPr>
        <w:spacing w:after="0"/>
        <w:ind w:firstLine="720"/>
        <w:jc w:val="both"/>
        <w:rPr>
          <w:rFonts w:asciiTheme="minorHAnsi" w:hAnsiTheme="minorHAnsi" w:cstheme="minorHAnsi"/>
          <w:sz w:val="20"/>
          <w:szCs w:val="20"/>
          <w:lang w:val="en-ID"/>
        </w:rPr>
      </w:pPr>
      <w:r w:rsidRPr="00C94A70">
        <w:rPr>
          <w:rFonts w:asciiTheme="minorHAnsi" w:hAnsiTheme="minorHAnsi" w:cstheme="minorHAnsi"/>
          <w:sz w:val="20"/>
          <w:szCs w:val="20"/>
          <w:lang w:val="en-ID"/>
        </w:rPr>
        <w:t>The clinical benefit of empirical combination therapy in sepsis is limited compared with appropriately selected monotherapy. Recent analyses in critically ill populations show that combination regimens do not consistently reduce mortality and may offer no advantage when the initial agent is active against the causative pathogen. Instead, outcomes are strongly influenced by the appropriateness of empirical coverage, defined by concordance with local susceptibility patterns</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10.1007/s00134-024-07453-0","ISSN":"1432-1238","author":[{"dropping-particle":"","family":"Bus","given":"Liesbet","non-dropping-particle":"De","parse-names":false,"suffix":""},{"dropping-particle":"","family":"Arvaniti","given":"Kostoula","non-dropping-particle":"","parse-names":false,"suffix":""},{"dropping-particle":"","family":"Sjövall","given":"Fredrik","non-dropping-particle":"","parse-names":false,"suffix":""}],"container-title":"Intensive Care Medicine","id":"ITEM-1","issue":"8","issued":{"date-parts":[["2024"]]},"page":"1338-1341","title":"Empirical antimicrobials in the intensive care unit","type":"article-journal","volume":"50"},"uris":["http://www.mendeley.com/documents/?uuid=0d83dd67-f3bb-4dee-ba6c-09e26acd0b6e","http://www.mendeley.com/documents/?uuid=afad6e64-23a6-4948-be83-00bb9ee64958"]},{"id":"ITEM-2","itemData":{"DOI":"https://doi.org/10.1016/j.ijantimicag.2019.10.020","ISSN":"0924-8579","abstract":"Background Combining aminoglycosides with β-lactam antibiotics for treating serious infections has not been associated with reduced mortality in previous meta-analyses. However, the multiple daily aminoglycoside dosing regimen principally used in most of the included studies is inconsistent with current practice. Objective To determine if a combination of an aminoglycoside administered as a single daily dose and a β-lactam antibiotic reduces all-cause mortality in patients compared with β-lactam antibiotic monotherapy. Methods A systematic review and meta-analysis of clinical studies was performed (Prospero registration number #68506). Studies were included if they compared β-lactam antibiotic monotherapy with combined β-lactam and single daily dose aminoglycoside therapy for treating serious infections. Studies investigating multiple daily dosing aminoglycoside regimens, infective endocarditis and febrile neutropaenia were excluded. Study quality was assessed using the PEDro and Newcastle-Ottawa scoring systems. The end points for outcome analyses were 30-day all-cause mortality, clinical cure and nephrotoxicity. Results Four randomised controlled trials and five retrospective cohort studies were analysed. Compared with β-lactam antibiotic monotherapy, single daily aminoglycoside dosing in combination with β-lactam antibiotics was not associated with reduced mortality compared with β-lactam antibiotic monotherapy (n = 3686, OR 0.82, 95% CI 0.63–1.08, P = 0.10, I2 42%). A subgroup analysis of cohort studies suggested reduced mortality with combination therapy (n = 3563, OR 0.79, 95% CI 0.64–0.99, P = 0.04, I2 32%). No increased risk of nephrotoxicity was identified (n = 1110, OR 1.31, 95% CI 0.83–2.09, P = 0.40, I2 0%). Conclusions The existing evidence suggests no added survival benefit from a single daily dosing regimen of an aminoglycoside when combined with β-lactam antibiotics.","author":[{"dropping-particle":"","family":"Heffernan","given":"Aaron James","non-dropping-particle":"","parse-names":false,"suffix":""},{"dropping-particle":"","family":"Sime","given":"Fekade Bruck","non-dropping-particle":"","parse-names":false,"suffix":""},{"dropping-particle":"","family":"Sun","given":"Jing","non-dropping-particle":"","parse-names":false,"suffix":""},{"dropping-particle":"","family":"Lipman","given":"Jeffrey","non-dropping-particle":"","parse-names":false,"suffix":""},{"dropping-particle":"","family":"Kumar","given":"Anand","non-dropping-particle":"","parse-names":false,"suffix":""},{"dropping-particle":"","family":"Andrews","given":"Katherine","non-dropping-particle":"","parse-names":false,"suffix":""},{"dropping-particle":"","family":"Ellwood","given":"David","non-dropping-particle":"","parse-names":false,"suffix":""},{"dropping-particle":"","family":"Grimwood","given":"Keith","non-dropping-particle":"","parse-names":false,"suffix":""},{"dropping-particle":"","family":"Roberts","given":"Jason","non-dropping-particle":"","parse-names":false,"suffix":""}],"container-title":"International Journal of Antimicrobial Agents","id":"ITEM-2","issue":"3","issued":{"date-parts":[["2020"]]},"page":"105839","title":"β-lactam antibiotic versus combined β-lactam antibiotics and single daily dosing regimens of aminoglycosides for treating serious infections: A meta-analysis","type":"article-journal","volume":"55"},"uris":["http://www.mendeley.com/documents/?uuid=8f389aba-0310-4a51-9b6a-fbe4170958c6","http://www.mendeley.com/documents/?uuid=2995c618-c159-4fa0-bba8-cc2eb3f6cbb2"]}],"mendeley":{"formattedCitation":"&lt;sup&gt;26,27&lt;/sup&gt;","plainTextFormattedCitation":"26,27","previouslyFormattedCitation":"&lt;sup&gt;26,27&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26,27</w:t>
      </w:r>
      <w:r w:rsidRPr="00C94A70">
        <w:rPr>
          <w:rFonts w:asciiTheme="minorHAnsi" w:hAnsiTheme="minorHAnsi" w:cstheme="minorHAnsi"/>
          <w:sz w:val="20"/>
          <w:szCs w:val="20"/>
          <w:lang w:val="en-ID"/>
        </w:rPr>
        <w:fldChar w:fldCharType="end"/>
      </w:r>
      <w:r w:rsidR="00E95E53" w:rsidRPr="00C94A70">
        <w:rPr>
          <w:rFonts w:asciiTheme="minorHAnsi" w:hAnsiTheme="minorHAnsi" w:cstheme="minorHAnsi"/>
          <w:sz w:val="20"/>
          <w:szCs w:val="20"/>
          <w:lang w:val="en-ID"/>
        </w:rPr>
        <w:t xml:space="preserve"> </w:t>
      </w:r>
      <w:r w:rsidRPr="00C94A70">
        <w:rPr>
          <w:rFonts w:asciiTheme="minorHAnsi" w:hAnsiTheme="minorHAnsi" w:cstheme="minorHAnsi"/>
          <w:sz w:val="20"/>
          <w:szCs w:val="20"/>
          <w:lang w:val="en-ID"/>
        </w:rPr>
        <w:t>A 2024 ICU cohort study reported that patients receiving appropriate empirical antibiotic therapy experienced better early clinical improvement and lower short-term mortality than those receiving inactive regimens, particularly in infections caused by multidrug-resistant organisms</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{"citationItems":[{"id":"ITEM-1","itemData":{"DOI":"10.3390/antibiotics13060569","ISSN":"20796382","abstract":"The appropriate antibiotic treatment of patients with bacterial sepsis in the intensive care unit (ICU) remains a challenge. Considering that current international guidelines recommend 7 days of antibiotic therapy as sufficient for most severe infections, our primary outcome was a comparison of clinical response to initial empirical therapy on day 7 and mortality between two groups of septic patients—with appropriate (AEAT) and inappropriate (IEAT) empirical antibiotic therapy according to the in vitro sensitivity of bacteria detected in a blood culture (BC). Adult patients admitted to the ICU between 2020 and 2023, who were diagnosed with sepsis according to the Sequential Organ Failure Assessment (SOFA) score ≥ 2 in association with a suspected or documented infection, were selected for the study. Of the 418 patients, 149 (35.6%) died within 7 days. Although the AEAT group had a lower mortality rate (30.3% vs. 34.2%) and better clinical improvement (52.8% vs. 47.4%) on day 7 after starting empirical antibiotic therapy, there was no significant difference. A causative organism was isolated from BCs in 30% of septic patients, with gram-negative bacteria (GNB) predominating in 60% of cases, and multidrug-resistant (MDR) or extensively drug-resistant (XDR) bacteria predominantly detected in the BCs of the IEAT group. Although the AEAT group had slightly worse clinical characteristics at the onset of sepsis than the IEAT group, the AEAT group showed faster improvement on days 7 and 14 of sepsis. In this retrospective cross-sectional study, the AEAT group was associated with better clinical response at day 7 after sepsis onset and lower mortality, but without a significant difference. Comorbidities and the type of bacterial pathogen should also be taken into account as they can also contribute to the prediction of the final outcome. These results demonstrate the importance of daily assessment of clinical factors to more accurately predict the clinical outcome of a septic patient.","author":[{"dropping-particle":"","family":"Tićac","given":"Mateo","non-dropping-particle":"","parse-names":false,"suffix":""},{"dropping-particle":"","family":"Grubić Kezele","given":"Tanja","non-dropping-particle":"","parse-names":false,"suffix":""},{"dropping-particle":"","family":"Bubonja Šonje","given":"Marina","non-dropping-particle":"","parse-names":false,"suffix":""}],"container-title":"Antibiotics","id":"ITEM-1","issue":"6","issued":{"date-parts":[["2024"]]},"page":"1-13","title":"Impact of Appropriate Empirical Antibiotic Treatment on the Clinical Response of Septic Patients in Intensive Care Unit: A Single-Center Observational Study","type":"article-journal","volume":"13"},"uris":["http://www.mendeley.com/documents/?uuid=9c35c21e-8474-45ba-a392-91d7905ea47f","http://www.mendeley.com/documents/?uuid=ff296c7b-6ca3-452f-88db-3ea6734595a5"]}],"mendeley":{"formattedCitation":"&lt;sup&gt;7&lt;/sup&gt;","plainTextFormattedCitation":"7","previouslyFormattedCitation":"&lt;sup&gt;7&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7</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These findings align with updated expert guidance emphasising that the timely administration of an active agent, rather than the use of multiple antibiotics, is the primary determinant of survival in sepsis</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DOI":"10.1007/s00134-024-07453-0","ISSN":"1432-1238","author":[{"dropping-particle":"","family":"Bus","given":"Liesbet","non-dropping-particle":"De","parse-names":false,"suffix":""},{"dropping-particle":"","family":"Arvaniti","given":"Kostoula","non-dropping-particle":"","parse-names":false,"suffix":""},{"dropping-particle":"","family":"Sjövall","given":"Fredrik","non-dropping-particle":"","parse-names":false,"suffix":""}],"container-title":"Intensive Care Medicine","id":"ITEM-1","issue":"8","issued":{"date-parts":[["2024"]]},"page":"1338-1341","title":"Empirical antimicrobials in the intensive care unit","type":"article-journal","volume":"50"},"uris":["http://www.mendeley.com/documents/?uuid=afad6e64-23a6-4948-be83-00bb9ee64958","http://www.mendeley.com/documents/?uuid=0d83dd67-f3bb-4dee-ba6c-09e26acd0b6e"]}],"mendeley":{"formattedCitation":"&lt;sup&gt;26&lt;/sup&gt;","plainTextFormattedCitation":"26","previouslyFormattedCitation":"&lt;sup&gt;26&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26</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Consequently, in settings where resistance to first-line agents such as ceftriaxone or fluoroquinolones is high, empirical monotherapy that appears guideline</w:t>
      </w:r>
      <w:r w:rsidRPr="00C94A70">
        <w:rPr>
          <w:rFonts w:asciiTheme="minorHAnsi" w:hAnsiTheme="minorHAnsi" w:cstheme="minorHAnsi"/>
          <w:sz w:val="20"/>
          <w:szCs w:val="20"/>
          <w:lang w:val="en-ID"/>
        </w:rPr>
        <w:noBreakHyphen/>
        <w:t>concordant may still be microbiologically inadequate, and treatment outcomes will depend more on initial susceptibility than on whether monotherapy or combination therapy is used</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{"citationItems":[{"id":"ITEM-1","itemData":{"DOI":"10.3390/antibiotics13060569","ISSN":"20796382","abstract":"The appropriate antibiotic treatment of patients with bacterial sepsis in the intensive care unit (ICU) remains a challenge. Considering that current international guidelines recommend 7 days of antibiotic therapy as sufficient for most severe infections, our primary outcome was a comparison of clinical response to initial empirical therapy on day 7 and mortality between two groups of septic patients—with appropriate (AEAT) and inappropriate (IEAT) empirical antibiotic therapy according to the in vitro sensitivity of bacteria detected in a blood culture (BC). Adult patients admitted to the ICU between 2020 and 2023, who were diagnosed with sepsis according to the Sequential Organ Failure Assessment (SOFA) score ≥ 2 in association with a suspected or documented infection, were selected for the study. Of the 418 patients, 149 (35.6%) died within 7 days. Although the AEAT group had a lower mortality rate (30.3% vs. 34.2%) and better clinical improvement (52.8% vs. 47.4%) on day 7 after starting empirical antibiotic therapy, there was no significant difference. A causative organism was isolated from BCs in 30% of septic patients, with gram-negative bacteria (GNB) predominating in 60% of cases, and multidrug-resistant (MDR) or extensively drug-resistant (XDR) bacteria predominantly detected in the BCs of the IEAT group. Although the AEAT group had slightly worse clinical characteristics at the onset of sepsis than the IEAT group, the AEAT group showed faster improvement on days 7 and 14 of sepsis. In this retrospective cross-sectional study, the AEAT group was associated with better clinical response at day 7 after sepsis onset and lower mortality, but without a significant difference. Comorbidities and the type of bacterial pathogen should also be taken into account as they can also contribute to the prediction of the final outcome. These results demonstrate the importance of daily assessment of clinical factors to more accurately predict the clinical outcome of a septic patient.","author":[{"dropping-particle":"","family":"Tićac","given":"Mateo","non-dropping-particle":"","parse-names":false,"suffix":""},{"dropping-particle":"","family":"Grubić Kezele","given":"Tanja","non-dropping-particle":"","parse-names":false,"suffix":""},{"dropping-particle":"","family":"Bubonja Šonje","given":"Marina","non-dropping-particle":"","parse-names":false,"suffix":""}],"container-title":"Antibiotics","id":"ITEM-1","issue":"6","issued":{"date-parts":[["2024"]]},"page":"1-13","title":"Impact of Appropriate Empirical Antibiotic Treatment on the Clinical Response of Septic Patients in Intensive Care Unit: A Single-Center Observational Study","type":"article-journal","volume":"13"},"uris":["http://www.mendeley.com/documents/?uuid=9c35c21e-8474-45ba-a392-91d7905ea47f","http://www.mendeley.com/documents/?uuid=ff296c7b-6ca3-452f-88db-3ea6734595a5"]}],"mendeley":{"formattedCitation":"&lt;sup&gt;7&lt;/sup&gt;","plainTextFormattedCitation":"7","previouslyFormattedCitation":"&lt;sup&gt;7&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7</w:t>
      </w:r>
      <w:r w:rsidRPr="00C94A70">
        <w:rPr>
          <w:rFonts w:asciiTheme="minorHAnsi" w:hAnsiTheme="minorHAnsi" w:cstheme="minorHAnsi"/>
          <w:sz w:val="20"/>
          <w:szCs w:val="20"/>
          <w:lang w:val="en-ID"/>
        </w:rPr>
        <w:fldChar w:fldCharType="end"/>
      </w:r>
    </w:p>
    <w:p w14:paraId="132A86B0" w14:textId="1190387E" w:rsidR="00E67574" w:rsidRPr="00C94A70" w:rsidRDefault="00E67574" w:rsidP="00B84B3E">
      <w:pPr>
        <w:spacing w:after="120"/>
        <w:ind w:firstLine="720"/>
        <w:jc w:val="both"/>
        <w:rPr>
          <w:rFonts w:ascii="Segoe UI" w:hAnsi="Segoe UI" w:cs="Segoe UI"/>
          <w:sz w:val="20"/>
          <w:szCs w:val="20"/>
          <w:lang w:val="en-ID"/>
        </w:rPr>
      </w:pPr>
      <w:r w:rsidRPr="00C94A70">
        <w:rPr>
          <w:rFonts w:asciiTheme="minorHAnsi" w:hAnsiTheme="minorHAnsi" w:cstheme="minorHAnsi"/>
          <w:sz w:val="20"/>
          <w:szCs w:val="20"/>
          <w:lang w:val="en-ID"/>
        </w:rPr>
        <w:t xml:space="preserve">According to </w:t>
      </w:r>
      <w:r w:rsidRPr="00004ADB">
        <w:rPr>
          <w:rFonts w:asciiTheme="minorHAnsi" w:hAnsiTheme="minorHAnsi" w:cstheme="minorHAnsi"/>
          <w:b/>
          <w:bCs/>
          <w:sz w:val="20"/>
          <w:szCs w:val="20"/>
          <w:lang w:val="en-ID"/>
        </w:rPr>
        <w:t>Table 2</w:t>
      </w:r>
      <w:r w:rsidRPr="00C94A70">
        <w:rPr>
          <w:rFonts w:asciiTheme="minorHAnsi" w:hAnsiTheme="minorHAnsi" w:cstheme="minorHAnsi"/>
          <w:sz w:val="20"/>
          <w:szCs w:val="20"/>
          <w:lang w:val="en-ID"/>
        </w:rPr>
        <w:t>, 12.28% of patients received sequential antibiotic treatment, which often involves stepwise escalation from first-line cephalosporins or fluoroquinolones to broader-spectrum agents such as meropenem, with some multiple switches. Moreover, s</w:t>
      </w:r>
      <w:proofErr w:type="spellStart"/>
      <w:r w:rsidR="00B4167F" w:rsidRPr="00C94A70">
        <w:rPr>
          <w:rFonts w:asciiTheme="minorHAnsi" w:hAnsiTheme="minorHAnsi" w:cstheme="minorHAnsi"/>
          <w:sz w:val="20"/>
          <w:szCs w:val="20"/>
        </w:rPr>
        <w:t>equential</w:t>
      </w:r>
      <w:proofErr w:type="spellEnd"/>
      <w:r w:rsidRPr="00C94A70">
        <w:rPr>
          <w:rFonts w:asciiTheme="minorHAnsi" w:hAnsiTheme="minorHAnsi" w:cstheme="minorHAnsi"/>
          <w:sz w:val="20"/>
          <w:szCs w:val="20"/>
        </w:rPr>
        <w:t xml:space="preserve"> antibiotic therapy refers to stepwise modification or escalation of antibiotics due to inadequate clinical or microbiological response. </w:t>
      </w:r>
      <w:r w:rsidRPr="00C94A70">
        <w:rPr>
          <w:rFonts w:asciiTheme="minorHAnsi" w:hAnsiTheme="minorHAnsi" w:cstheme="minorHAnsi"/>
          <w:sz w:val="20"/>
          <w:szCs w:val="20"/>
          <w:lang w:val="en-ID"/>
        </w:rPr>
        <w:t>Recent ICU studies and expert reviews consistently indicate that sequential antibiotic therapy often reflects initial treatment failure attributable to antimicrobial resistance. When empirical therapy is inactive against the causative pathogen, particularly in settings with high resistance, patients frequently require escalation or sequential switching. This pattern has been documented in contemporary ICU cohorts, where MDR/XDR organisms are strongly associated with the need to modify therapy, and is reinforced by expert guidance emphasising that sequential changes are a clinical consequence of initial microbiological inadequacy</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{"citationItems":[{"id":"ITEM-1","itemData":{"DOI":"10.1093/infdis/jiaa221","ISSN":"0022-1899","abstract":"Patients with sepsis present across a spectrum of infection sites and severity of illnesses requiring complex decision making at the bedside as to when prompt antibiotics are indicated and which regimen is warranted. Many hemodynamically stable patients with sepsis and low acuity of illness may benefit from further work up before initiating therapy, whereas patients with septic shock warrant emergent broad-spectrum antibiotics. The precise empiric regimen is determined by assessing patient and epidemiological risk factors, likely source of infection based on presenting signs and symptoms, and severity of illness. Hospitals should implement quality improvement measures to aid in the rapid and accurate diagnosis of septic patients and to ensure antibiotics are given to patients in an expedited fashion after antibiotic order.","author":[{"dropping-particle":"","family":"Strich","given":"Jeffrey R","non-dropping-particle":"","parse-names":false,"suffix":""},{"dropping-particle":"","family":"Heil","given":"Emily L","non-dropping-particle":"","parse-names":false,"suffix":""},{"dropping-particle":"","family":"Masur","given":"Henry","non-dropping-particle":"","parse-names":false,"suffix":""}],"container-title":"The Journal of Infectious Diseases","id":"ITEM-1","issue":"Supplement_2","issued":{"date-parts":[["2020","7"]]},"page":"S119-S131","title":"Considerations for Empiric Antimicrobial Therapy in Sepsis and Septic Shock in an Era of Antimicrobial Resistance","type":"article-journal","volume":"222"},"uris":["http://www.mendeley.com/documents/?uuid=56eac0ab-d699-4609-b667-18e2c75c75b0","http://www.mendeley.com/documents/?uuid=df58721e-0670-46d8-98e7-538bfeac479b"]},{"id":"ITEM-2","itemData":{"ISSN":"0883-9441","author":[{"dropping-particle":"","family":"Tanha","given":"Nima","non-dropping-particle":"","parse-names":false,"suffix":""},{"dropping-particle":"","family":"Lejbman","given":"Ilja Areskog","non-dropping-particle":"","parse-names":false,"suffix":""},{"dropping-particle":"","family":"Bus","given":"Liesbet","non-dropping-particle":"De","parse-names":false,"suffix":""},{"dropping-particle":"","family":"Pascale","given":"Gennaro","non-dropping-particle":"De","parse-names":false,"suffix":""},{"dropping-particle":"","family":"Garnacho-Montero","given":"José","non-dropping-particle":"","parse-names":false,"suffix":""},{"dropping-particle":"","family":"Leone","given":"Marc","non-dropping-particle":"","parse-names":false,"suffix":""},{"dropping-particle":"","family":"Fujitan","given":"Shigeki","non-dropping-particle":"","parse-names":false,"suffix":""},{"dropping-particle":"","family":"Waele","given":"Jan J","non-dropping-particle":"De","parse-names":false,"suffix":""},{"dropping-particle":"","family":"Torisson","given":"Gustav","non-dropping-particle":"","parse-names":false,"suffix":""},{"dropping-particle":"","family":"Sjövall","given":"Fredrik","non-dropping-particle":"","parse-names":false,"suffix":""}],"container-title":"Journal of Critical Care","id":"ITEM-2","issued":{"date-parts":[["2024"]]},"page":"154501","publisher":"Elsevier","title":"Clinical outcomes in combination versus mono antibiotic therapy in ICU admitted patients with a suspected infection-A substudy of the DIANA study","type":"article-journal","volume":"80"},"uris":["http://www.mendeley.com/documents/?uuid=3f1cb1b0-c132-4f3c-8ebb-66b0c9c90b66","http://www.mendeley.com/documents/?uuid=70cb6717-d090-4ec4-b0b5-a7b2f79f7683"]},{"id":"ITEM-3","itemData":{"DOI":"10.3390/antibiotics13060569","ISSN":"20796382","abstract":"The appropriate antibiotic treatment of patients with bacterial sepsis in the intensive care unit (ICU) remains a challenge. Considering that current international guidelines recommend 7 days of antibiotic therapy as sufficient for most severe infections, our primary outcome was a comparison of clinical response to initial empirical therapy on day 7 and mortality between two groups of septic patients—with appropriate (AEAT) and inappropriate (IEAT) empirical antibiotic therapy according to the in vitro sensitivity of bacteria detected in a blood culture (BC). Adult patients admitted to the ICU between 2020 and 2023, who were diagnosed with sepsis according to the Sequential Organ Failure Assessment (SOFA) score ≥ 2 in association with a suspected or documented infection, were selected for the study. Of the 418 patients, 149 (35.6%) died within 7 days. Although the AEAT group had a lower mortality rate (30.3% vs. 34.2%) and better clinical improvement (52.8% vs. 47.4%) on day 7 after starting empirical antibiotic therapy, there was no significant difference. A causative organism was isolated from BCs in 30% of septic patients, with gram-negative bacteria (GNB) predominating in 60% of cases, and multidrug-resistant (MDR) or extensively drug-resistant (XDR) bacteria predominantly detected in the BCs of the IEAT group. Although the AEAT group had slightly worse clinical characteristics at the onset of sepsis than the IEAT group, the AEAT group showed faster improvement on days 7 and 14 of sepsis. In this retrospective cross-sectional study, the AEAT group was associated with better clinical response at day 7 after sepsis onset and lower mortality, but without a significant difference. Comorbidities and the type of bacterial pathogen should also be taken into account as they can also contribute to the prediction of the final outcome. These results demonstrate the importance of daily assessment of clinical factors to more accurately predict the clinical outcome of a septic patient.","author":[{"dropping-particle":"","family":"Tićac","given":"Mateo","non-dropping-particle":"","parse-names":false,"suffix":""},{"dropping-particle":"","family":"Grubić Kezele","given":"Tanja","non-dropping-particle":"","parse-names":false,"suffix":""},{"dropping-particle":"","family":"Bubonja Šonje","given":"Marina","non-dropping-particle":"","parse-names":false,"suffix":""}],"container-title":"Antibiotics","id":"ITEM-3","issue":"6","issued":{"date-parts":[["2024"]]},"page":"1-13","title":"Impact of Appropriate Empirical Antibiotic Treatment on the Clinical Response of Septic Patients in Intensive Care Unit: A Single-Center Observational Study","type":"article-journal","volume":"13"},"uris":["http://www.mendeley.com/documents/?uuid=9c35c21e-8474-45ba-a392-91d7905ea47f","http://www.mendeley.com/documents/?uuid=ff296c7b-6ca3-452f-88db-3ea6734595a5","http://www.mendeley.com/documents/?uuid=4ee6a227-4d4c-40b4-ae9e-4cbbd4355ba1"]}],"mendeley":{"formattedCitation":"&lt;sup&gt;7,25,28&lt;/sup&gt;","plainTextFormattedCitation":"7,25,28","previouslyFormattedCitation":"&lt;sup&gt;7,25,28&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7,25,28</w:t>
      </w:r>
      <w:r w:rsidRPr="00C94A70">
        <w:rPr>
          <w:rFonts w:asciiTheme="minorHAnsi" w:hAnsiTheme="minorHAnsi" w:cstheme="minorHAnsi"/>
          <w:sz w:val="20"/>
          <w:szCs w:val="20"/>
          <w:lang w:val="en-ID"/>
        </w:rPr>
        <w:fldChar w:fldCharType="end"/>
      </w:r>
    </w:p>
    <w:p w14:paraId="3DFF7D38" w14:textId="1DAA8CC7" w:rsidR="00E67574" w:rsidRPr="0064565E" w:rsidRDefault="00E67574" w:rsidP="00903364">
      <w:pPr>
        <w:spacing w:after="0"/>
        <w:rPr>
          <w:rFonts w:asciiTheme="minorHAnsi" w:hAnsiTheme="minorHAnsi" w:cstheme="minorHAnsi"/>
          <w:sz w:val="20"/>
          <w:szCs w:val="20"/>
        </w:rPr>
      </w:pPr>
      <w:r w:rsidRPr="0064565E">
        <w:rPr>
          <w:rFonts w:asciiTheme="minorHAnsi" w:hAnsiTheme="minorHAnsi" w:cstheme="minorHAnsi"/>
          <w:b/>
          <w:bCs/>
          <w:sz w:val="20"/>
          <w:szCs w:val="20"/>
        </w:rPr>
        <w:t xml:space="preserve">Table 3. </w:t>
      </w:r>
      <w:r w:rsidRPr="0064565E">
        <w:rPr>
          <w:rFonts w:asciiTheme="minorHAnsi" w:hAnsiTheme="minorHAnsi" w:cstheme="minorHAnsi"/>
          <w:sz w:val="20"/>
          <w:szCs w:val="20"/>
        </w:rPr>
        <w:t>Sepsis Induces-bacteria</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5330"/>
        <w:gridCol w:w="1155"/>
        <w:gridCol w:w="2061"/>
      </w:tblGrid>
      <w:tr w:rsidR="00E67574" w:rsidRPr="00C94A70" w14:paraId="2C272281" w14:textId="77777777" w:rsidTr="00AF33E9">
        <w:trPr>
          <w:trHeight w:val="283"/>
          <w:tblHeader/>
        </w:trPr>
        <w:tc>
          <w:tcPr>
            <w:tcW w:w="567" w:type="pct"/>
            <w:tcBorders>
              <w:top w:val="single" w:sz="4" w:space="0" w:color="auto"/>
              <w:bottom w:val="single" w:sz="4" w:space="0" w:color="auto"/>
            </w:tcBorders>
            <w:shd w:val="clear" w:color="auto" w:fill="DEEAF6" w:themeFill="accent5" w:themeFillTint="33"/>
            <w:vAlign w:val="center"/>
          </w:tcPr>
          <w:p w14:paraId="0D73A1CB" w14:textId="2CE594D8" w:rsidR="00E67574" w:rsidRPr="00C94A70" w:rsidRDefault="00E67574" w:rsidP="00AF33E9">
            <w:pPr>
              <w:spacing w:after="0" w:line="240" w:lineRule="auto"/>
              <w:jc w:val="center"/>
              <w:rPr>
                <w:rFonts w:asciiTheme="minorHAnsi" w:eastAsia="Times New Roman" w:hAnsiTheme="minorHAnsi" w:cstheme="minorHAnsi"/>
                <w:b/>
                <w:sz w:val="18"/>
                <w:szCs w:val="18"/>
                <w:lang w:eastAsia="id-ID"/>
              </w:rPr>
            </w:pPr>
          </w:p>
        </w:tc>
        <w:tc>
          <w:tcPr>
            <w:tcW w:w="2765" w:type="pct"/>
            <w:tcBorders>
              <w:top w:val="single" w:sz="4" w:space="0" w:color="auto"/>
              <w:bottom w:val="single" w:sz="4" w:space="0" w:color="auto"/>
            </w:tcBorders>
            <w:shd w:val="clear" w:color="auto" w:fill="DEEAF6" w:themeFill="accent5" w:themeFillTint="33"/>
            <w:vAlign w:val="center"/>
          </w:tcPr>
          <w:p w14:paraId="2812910F" w14:textId="77777777" w:rsidR="00E67574" w:rsidRPr="00C94A70" w:rsidRDefault="00E67574" w:rsidP="00AF33E9">
            <w:pPr>
              <w:spacing w:after="0" w:line="240" w:lineRule="auto"/>
              <w:jc w:val="center"/>
              <w:rPr>
                <w:rFonts w:asciiTheme="minorHAnsi" w:eastAsia="Times New Roman" w:hAnsiTheme="minorHAnsi" w:cstheme="minorHAnsi"/>
                <w:b/>
                <w:sz w:val="18"/>
                <w:szCs w:val="18"/>
                <w:lang w:eastAsia="id-ID"/>
              </w:rPr>
            </w:pPr>
            <w:r w:rsidRPr="00C94A70">
              <w:rPr>
                <w:rFonts w:asciiTheme="minorHAnsi" w:eastAsia="Times New Roman" w:hAnsiTheme="minorHAnsi" w:cstheme="minorHAnsi"/>
                <w:b/>
                <w:sz w:val="18"/>
                <w:szCs w:val="18"/>
                <w:lang w:eastAsia="id-ID"/>
              </w:rPr>
              <w:t>Bacteria</w:t>
            </w:r>
          </w:p>
        </w:tc>
        <w:tc>
          <w:tcPr>
            <w:tcW w:w="599" w:type="pct"/>
            <w:tcBorders>
              <w:top w:val="single" w:sz="4" w:space="0" w:color="auto"/>
              <w:bottom w:val="single" w:sz="4" w:space="0" w:color="auto"/>
            </w:tcBorders>
            <w:shd w:val="clear" w:color="auto" w:fill="DEEAF6" w:themeFill="accent5" w:themeFillTint="33"/>
            <w:vAlign w:val="center"/>
          </w:tcPr>
          <w:p w14:paraId="6B53BBA5" w14:textId="77777777" w:rsidR="00E67574" w:rsidRPr="00C94A70" w:rsidRDefault="00E67574" w:rsidP="00AF33E9">
            <w:pPr>
              <w:spacing w:after="0" w:line="240" w:lineRule="auto"/>
              <w:jc w:val="center"/>
              <w:rPr>
                <w:rFonts w:asciiTheme="minorHAnsi" w:eastAsia="Times New Roman" w:hAnsiTheme="minorHAnsi" w:cstheme="minorHAnsi"/>
                <w:b/>
                <w:sz w:val="18"/>
                <w:szCs w:val="18"/>
                <w:lang w:eastAsia="id-ID"/>
              </w:rPr>
            </w:pPr>
            <w:r w:rsidRPr="00C94A70">
              <w:rPr>
                <w:rFonts w:asciiTheme="minorHAnsi" w:eastAsia="Times New Roman" w:hAnsiTheme="minorHAnsi" w:cstheme="minorHAnsi"/>
                <w:b/>
                <w:sz w:val="18"/>
                <w:szCs w:val="18"/>
                <w:lang w:eastAsia="id-ID"/>
              </w:rPr>
              <w:t xml:space="preserve">Number </w:t>
            </w:r>
          </w:p>
        </w:tc>
        <w:tc>
          <w:tcPr>
            <w:tcW w:w="1069" w:type="pct"/>
            <w:tcBorders>
              <w:top w:val="single" w:sz="4" w:space="0" w:color="auto"/>
              <w:bottom w:val="single" w:sz="4" w:space="0" w:color="auto"/>
            </w:tcBorders>
            <w:shd w:val="clear" w:color="auto" w:fill="DEEAF6" w:themeFill="accent5" w:themeFillTint="33"/>
            <w:vAlign w:val="center"/>
          </w:tcPr>
          <w:p w14:paraId="0652A8EC" w14:textId="77777777" w:rsidR="00E67574" w:rsidRPr="00C94A70" w:rsidRDefault="00E67574" w:rsidP="00AF33E9">
            <w:pPr>
              <w:spacing w:after="0" w:line="240" w:lineRule="auto"/>
              <w:jc w:val="center"/>
              <w:rPr>
                <w:rFonts w:asciiTheme="minorHAnsi" w:eastAsia="Times New Roman" w:hAnsiTheme="minorHAnsi" w:cstheme="minorHAnsi"/>
                <w:b/>
                <w:sz w:val="18"/>
                <w:szCs w:val="18"/>
                <w:lang w:eastAsia="id-ID"/>
              </w:rPr>
            </w:pPr>
            <w:r w:rsidRPr="00C94A70">
              <w:rPr>
                <w:rFonts w:asciiTheme="minorHAnsi" w:eastAsia="Times New Roman" w:hAnsiTheme="minorHAnsi" w:cstheme="minorHAnsi"/>
                <w:b/>
                <w:sz w:val="18"/>
                <w:szCs w:val="18"/>
                <w:lang w:eastAsia="id-ID"/>
              </w:rPr>
              <w:t>Percentage (%)</w:t>
            </w:r>
          </w:p>
        </w:tc>
      </w:tr>
      <w:tr w:rsidR="00E67574" w:rsidRPr="00C94A70" w14:paraId="258980B7" w14:textId="77777777" w:rsidTr="00815C57">
        <w:tc>
          <w:tcPr>
            <w:tcW w:w="5000" w:type="pct"/>
            <w:gridSpan w:val="4"/>
            <w:tcBorders>
              <w:top w:val="single" w:sz="4" w:space="0" w:color="auto"/>
              <w:left w:val="nil"/>
              <w:bottom w:val="nil"/>
              <w:right w:val="nil"/>
            </w:tcBorders>
            <w:vAlign w:val="center"/>
          </w:tcPr>
          <w:p w14:paraId="74636E40" w14:textId="60C72C3A" w:rsidR="00E67574" w:rsidRPr="00C94A70" w:rsidRDefault="00E67574" w:rsidP="00AF33E9">
            <w:pPr>
              <w:pStyle w:val="Heading8"/>
              <w:spacing w:before="0" w:line="240" w:lineRule="auto"/>
              <w:rPr>
                <w:rFonts w:asciiTheme="minorHAnsi" w:eastAsia="Calibri" w:hAnsiTheme="minorHAnsi" w:cstheme="minorHAnsi"/>
                <w:b/>
                <w:bCs/>
                <w:sz w:val="18"/>
                <w:szCs w:val="18"/>
              </w:rPr>
            </w:pPr>
            <w:r w:rsidRPr="00C94A70">
              <w:rPr>
                <w:rFonts w:asciiTheme="minorHAnsi" w:eastAsia="Calibri" w:hAnsiTheme="minorHAnsi" w:cstheme="minorHAnsi"/>
                <w:b/>
                <w:bCs/>
                <w:sz w:val="18"/>
                <w:szCs w:val="18"/>
              </w:rPr>
              <w:t xml:space="preserve"> Gram-</w:t>
            </w:r>
            <w:proofErr w:type="spellStart"/>
            <w:r w:rsidRPr="00C94A70">
              <w:rPr>
                <w:rFonts w:asciiTheme="minorHAnsi" w:eastAsia="Calibri" w:hAnsiTheme="minorHAnsi" w:cstheme="minorHAnsi"/>
                <w:b/>
                <w:bCs/>
                <w:sz w:val="18"/>
                <w:szCs w:val="18"/>
              </w:rPr>
              <w:t>Negative</w:t>
            </w:r>
            <w:proofErr w:type="spellEnd"/>
            <w:r w:rsidRPr="00C94A70">
              <w:rPr>
                <w:rFonts w:asciiTheme="minorHAnsi" w:eastAsia="Calibri" w:hAnsiTheme="minorHAnsi" w:cstheme="minorHAnsi"/>
                <w:b/>
                <w:bCs/>
                <w:sz w:val="18"/>
                <w:szCs w:val="18"/>
              </w:rPr>
              <w:t xml:space="preserve"> </w:t>
            </w:r>
            <w:proofErr w:type="spellStart"/>
            <w:r w:rsidRPr="00C94A70">
              <w:rPr>
                <w:rFonts w:asciiTheme="minorHAnsi" w:eastAsia="Calibri" w:hAnsiTheme="minorHAnsi" w:cstheme="minorHAnsi"/>
                <w:b/>
                <w:bCs/>
                <w:sz w:val="18"/>
                <w:szCs w:val="18"/>
              </w:rPr>
              <w:t>Bacteria</w:t>
            </w:r>
            <w:proofErr w:type="spellEnd"/>
          </w:p>
        </w:tc>
      </w:tr>
      <w:tr w:rsidR="00E67574" w:rsidRPr="00C94A70" w14:paraId="2D28628B" w14:textId="77777777" w:rsidTr="00815C57">
        <w:tc>
          <w:tcPr>
            <w:tcW w:w="567" w:type="pct"/>
            <w:tcBorders>
              <w:top w:val="nil"/>
              <w:bottom w:val="nil"/>
            </w:tcBorders>
            <w:vAlign w:val="center"/>
          </w:tcPr>
          <w:p w14:paraId="271BC2E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w:t>
            </w:r>
          </w:p>
        </w:tc>
        <w:tc>
          <w:tcPr>
            <w:tcW w:w="2765" w:type="pct"/>
            <w:tcBorders>
              <w:top w:val="nil"/>
              <w:bottom w:val="nil"/>
            </w:tcBorders>
            <w:vAlign w:val="center"/>
          </w:tcPr>
          <w:p w14:paraId="6F0FCF68" w14:textId="77777777" w:rsidR="00E67574" w:rsidRPr="00C94A70" w:rsidRDefault="00E67574" w:rsidP="00AF33E9">
            <w:pPr>
              <w:pStyle w:val="Heading6"/>
              <w:spacing w:before="0" w:line="240" w:lineRule="auto"/>
              <w:rPr>
                <w:rFonts w:asciiTheme="minorHAnsi" w:eastAsia="Times New Roman" w:hAnsiTheme="minorHAnsi" w:cstheme="minorHAnsi"/>
                <w:i/>
                <w:iCs/>
                <w:sz w:val="18"/>
                <w:szCs w:val="18"/>
                <w:lang w:val="en-US" w:eastAsia="id-ID"/>
              </w:rPr>
            </w:pPr>
            <w:proofErr w:type="spellStart"/>
            <w:r w:rsidRPr="00C94A70">
              <w:rPr>
                <w:rFonts w:asciiTheme="minorHAnsi" w:hAnsiTheme="minorHAnsi" w:cstheme="minorHAnsi"/>
                <w:i/>
                <w:iCs/>
                <w:color w:val="000000"/>
                <w:sz w:val="18"/>
                <w:szCs w:val="18"/>
              </w:rPr>
              <w:t>Burkholderia</w:t>
            </w:r>
            <w:proofErr w:type="spellEnd"/>
            <w:r w:rsidRPr="00C94A70">
              <w:rPr>
                <w:rFonts w:asciiTheme="minorHAnsi" w:hAnsiTheme="minorHAnsi" w:cstheme="minorHAnsi"/>
                <w:i/>
                <w:iCs/>
                <w:color w:val="000000"/>
                <w:sz w:val="18"/>
                <w:szCs w:val="18"/>
              </w:rPr>
              <w:t xml:space="preserve"> </w:t>
            </w:r>
            <w:proofErr w:type="spellStart"/>
            <w:r w:rsidRPr="00C94A70">
              <w:rPr>
                <w:rFonts w:asciiTheme="minorHAnsi" w:hAnsiTheme="minorHAnsi" w:cstheme="minorHAnsi"/>
                <w:i/>
                <w:iCs/>
                <w:color w:val="000000"/>
                <w:sz w:val="18"/>
                <w:szCs w:val="18"/>
              </w:rPr>
              <w:t>cepacia</w:t>
            </w:r>
            <w:proofErr w:type="spellEnd"/>
          </w:p>
        </w:tc>
        <w:tc>
          <w:tcPr>
            <w:tcW w:w="599" w:type="pct"/>
            <w:tcBorders>
              <w:top w:val="nil"/>
              <w:bottom w:val="nil"/>
            </w:tcBorders>
            <w:vAlign w:val="center"/>
          </w:tcPr>
          <w:p w14:paraId="4C94C649"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8</w:t>
            </w:r>
          </w:p>
        </w:tc>
        <w:tc>
          <w:tcPr>
            <w:tcW w:w="1069" w:type="pct"/>
            <w:tcBorders>
              <w:top w:val="nil"/>
              <w:bottom w:val="nil"/>
            </w:tcBorders>
            <w:vAlign w:val="center"/>
          </w:tcPr>
          <w:p w14:paraId="0287C1F4" w14:textId="3B418A3C"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14</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03</w:t>
            </w:r>
          </w:p>
        </w:tc>
      </w:tr>
      <w:tr w:rsidR="00E67574" w:rsidRPr="00C94A70" w14:paraId="4946D79D" w14:textId="77777777" w:rsidTr="00815C57">
        <w:tc>
          <w:tcPr>
            <w:tcW w:w="567" w:type="pct"/>
            <w:tcBorders>
              <w:top w:val="nil"/>
              <w:bottom w:val="nil"/>
            </w:tcBorders>
            <w:vAlign w:val="center"/>
          </w:tcPr>
          <w:p w14:paraId="01592B1F"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2</w:t>
            </w:r>
          </w:p>
        </w:tc>
        <w:tc>
          <w:tcPr>
            <w:tcW w:w="2765" w:type="pct"/>
            <w:tcBorders>
              <w:top w:val="nil"/>
              <w:bottom w:val="nil"/>
            </w:tcBorders>
            <w:vAlign w:val="center"/>
          </w:tcPr>
          <w:p w14:paraId="54D7E65A" w14:textId="77777777" w:rsidR="00E67574" w:rsidRPr="00C94A70" w:rsidRDefault="00E67574" w:rsidP="00AF33E9">
            <w:pPr>
              <w:spacing w:after="0" w:line="240" w:lineRule="auto"/>
              <w:rPr>
                <w:rFonts w:asciiTheme="minorHAnsi" w:eastAsia="Times New Roman" w:hAnsiTheme="minorHAnsi" w:cstheme="minorHAnsi"/>
                <w:i/>
                <w:sz w:val="18"/>
                <w:szCs w:val="18"/>
                <w:lang w:eastAsia="id-ID"/>
              </w:rPr>
            </w:pPr>
            <w:r w:rsidRPr="00C94A70">
              <w:rPr>
                <w:rFonts w:asciiTheme="minorHAnsi" w:hAnsiTheme="minorHAnsi" w:cstheme="minorHAnsi"/>
                <w:i/>
                <w:color w:val="000000"/>
                <w:sz w:val="18"/>
                <w:szCs w:val="18"/>
              </w:rPr>
              <w:t>Escherichia coli</w:t>
            </w:r>
          </w:p>
        </w:tc>
        <w:tc>
          <w:tcPr>
            <w:tcW w:w="599" w:type="pct"/>
            <w:tcBorders>
              <w:top w:val="nil"/>
              <w:bottom w:val="nil"/>
            </w:tcBorders>
            <w:vAlign w:val="center"/>
          </w:tcPr>
          <w:p w14:paraId="79ACFD55"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6</w:t>
            </w:r>
          </w:p>
        </w:tc>
        <w:tc>
          <w:tcPr>
            <w:tcW w:w="1069" w:type="pct"/>
            <w:tcBorders>
              <w:top w:val="nil"/>
              <w:bottom w:val="nil"/>
            </w:tcBorders>
            <w:vAlign w:val="center"/>
          </w:tcPr>
          <w:p w14:paraId="7C7FAE18" w14:textId="7136E192"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10</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53</w:t>
            </w:r>
          </w:p>
        </w:tc>
      </w:tr>
      <w:tr w:rsidR="00E67574" w:rsidRPr="00C94A70" w14:paraId="193DFE02" w14:textId="77777777" w:rsidTr="00815C57">
        <w:tc>
          <w:tcPr>
            <w:tcW w:w="567" w:type="pct"/>
            <w:tcBorders>
              <w:top w:val="nil"/>
              <w:bottom w:val="nil"/>
            </w:tcBorders>
            <w:vAlign w:val="center"/>
          </w:tcPr>
          <w:p w14:paraId="3DCA767B"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3</w:t>
            </w:r>
          </w:p>
        </w:tc>
        <w:tc>
          <w:tcPr>
            <w:tcW w:w="2765" w:type="pct"/>
            <w:tcBorders>
              <w:top w:val="nil"/>
              <w:bottom w:val="nil"/>
            </w:tcBorders>
            <w:vAlign w:val="center"/>
          </w:tcPr>
          <w:p w14:paraId="1B301B5C"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Klebsiella pneumoniae ss. pneumoniae</w:t>
            </w:r>
          </w:p>
        </w:tc>
        <w:tc>
          <w:tcPr>
            <w:tcW w:w="599" w:type="pct"/>
            <w:tcBorders>
              <w:top w:val="nil"/>
              <w:bottom w:val="nil"/>
            </w:tcBorders>
            <w:vAlign w:val="center"/>
          </w:tcPr>
          <w:p w14:paraId="1F9667A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5</w:t>
            </w:r>
          </w:p>
        </w:tc>
        <w:tc>
          <w:tcPr>
            <w:tcW w:w="1069" w:type="pct"/>
            <w:tcBorders>
              <w:top w:val="nil"/>
              <w:bottom w:val="nil"/>
            </w:tcBorders>
            <w:vAlign w:val="center"/>
          </w:tcPr>
          <w:p w14:paraId="6812186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8,77</w:t>
            </w:r>
          </w:p>
        </w:tc>
      </w:tr>
      <w:tr w:rsidR="00E67574" w:rsidRPr="00C94A70" w14:paraId="06A19896" w14:textId="77777777" w:rsidTr="00815C57">
        <w:tc>
          <w:tcPr>
            <w:tcW w:w="567" w:type="pct"/>
            <w:tcBorders>
              <w:top w:val="nil"/>
              <w:bottom w:val="nil"/>
            </w:tcBorders>
            <w:vAlign w:val="center"/>
          </w:tcPr>
          <w:p w14:paraId="7A46521D"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4</w:t>
            </w:r>
          </w:p>
        </w:tc>
        <w:tc>
          <w:tcPr>
            <w:tcW w:w="2765" w:type="pct"/>
            <w:tcBorders>
              <w:top w:val="nil"/>
              <w:bottom w:val="nil"/>
            </w:tcBorders>
            <w:vAlign w:val="center"/>
          </w:tcPr>
          <w:p w14:paraId="76C915FF"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Proteus mirabilis</w:t>
            </w:r>
          </w:p>
        </w:tc>
        <w:tc>
          <w:tcPr>
            <w:tcW w:w="599" w:type="pct"/>
            <w:tcBorders>
              <w:top w:val="nil"/>
              <w:bottom w:val="nil"/>
            </w:tcBorders>
            <w:vAlign w:val="center"/>
          </w:tcPr>
          <w:p w14:paraId="1B5DD465"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3</w:t>
            </w:r>
          </w:p>
        </w:tc>
        <w:tc>
          <w:tcPr>
            <w:tcW w:w="1069" w:type="pct"/>
            <w:tcBorders>
              <w:top w:val="nil"/>
              <w:bottom w:val="nil"/>
            </w:tcBorders>
            <w:vAlign w:val="center"/>
          </w:tcPr>
          <w:p w14:paraId="79A9EACC" w14:textId="4ACE5144"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5</w:t>
            </w:r>
            <w:r w:rsidR="006B442F"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26</w:t>
            </w:r>
          </w:p>
        </w:tc>
      </w:tr>
      <w:tr w:rsidR="00E67574" w:rsidRPr="00C94A70" w14:paraId="69291807" w14:textId="77777777" w:rsidTr="00815C57">
        <w:tc>
          <w:tcPr>
            <w:tcW w:w="567" w:type="pct"/>
            <w:tcBorders>
              <w:top w:val="nil"/>
              <w:bottom w:val="nil"/>
            </w:tcBorders>
            <w:vAlign w:val="center"/>
          </w:tcPr>
          <w:p w14:paraId="00676B5E"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5</w:t>
            </w:r>
          </w:p>
        </w:tc>
        <w:tc>
          <w:tcPr>
            <w:tcW w:w="2765" w:type="pct"/>
            <w:tcBorders>
              <w:top w:val="nil"/>
              <w:bottom w:val="nil"/>
            </w:tcBorders>
            <w:vAlign w:val="center"/>
          </w:tcPr>
          <w:p w14:paraId="1A8EA375" w14:textId="77777777" w:rsidR="00E67574" w:rsidRPr="00C94A70" w:rsidRDefault="00E67574" w:rsidP="00AF33E9">
            <w:pPr>
              <w:spacing w:after="0" w:line="240" w:lineRule="auto"/>
              <w:rPr>
                <w:rFonts w:asciiTheme="minorHAnsi" w:hAnsiTheme="minorHAnsi" w:cstheme="minorHAnsi"/>
                <w:i/>
                <w:sz w:val="18"/>
                <w:szCs w:val="18"/>
              </w:rPr>
            </w:pPr>
            <w:proofErr w:type="spellStart"/>
            <w:r w:rsidRPr="00C94A70">
              <w:rPr>
                <w:rFonts w:asciiTheme="minorHAnsi" w:hAnsiTheme="minorHAnsi" w:cstheme="minorHAnsi"/>
                <w:i/>
                <w:color w:val="000000"/>
                <w:sz w:val="18"/>
                <w:szCs w:val="18"/>
              </w:rPr>
              <w:t>Achromobacter</w:t>
            </w:r>
            <w:proofErr w:type="spellEnd"/>
            <w:r w:rsidRPr="00C94A70">
              <w:rPr>
                <w:rFonts w:asciiTheme="minorHAnsi" w:hAnsiTheme="minorHAnsi" w:cstheme="minorHAnsi"/>
                <w:i/>
                <w:color w:val="000000"/>
                <w:sz w:val="18"/>
                <w:szCs w:val="18"/>
              </w:rPr>
              <w:t xml:space="preserve"> </w:t>
            </w:r>
            <w:proofErr w:type="spellStart"/>
            <w:r w:rsidRPr="00C94A70">
              <w:rPr>
                <w:rFonts w:asciiTheme="minorHAnsi" w:hAnsiTheme="minorHAnsi" w:cstheme="minorHAnsi"/>
                <w:i/>
                <w:color w:val="000000"/>
                <w:sz w:val="18"/>
                <w:szCs w:val="18"/>
              </w:rPr>
              <w:t>xylosoxidans</w:t>
            </w:r>
            <w:proofErr w:type="spellEnd"/>
            <w:r w:rsidRPr="00C94A70">
              <w:rPr>
                <w:rFonts w:asciiTheme="minorHAnsi" w:hAnsiTheme="minorHAnsi" w:cstheme="minorHAnsi"/>
                <w:i/>
                <w:color w:val="000000"/>
                <w:sz w:val="18"/>
                <w:szCs w:val="18"/>
              </w:rPr>
              <w:t xml:space="preserve"> ss. </w:t>
            </w:r>
            <w:proofErr w:type="spellStart"/>
            <w:r w:rsidRPr="00C94A70">
              <w:rPr>
                <w:rFonts w:asciiTheme="minorHAnsi" w:hAnsiTheme="minorHAnsi" w:cstheme="minorHAnsi"/>
                <w:i/>
                <w:color w:val="000000"/>
                <w:sz w:val="18"/>
                <w:szCs w:val="18"/>
              </w:rPr>
              <w:t>denitrificans</w:t>
            </w:r>
            <w:proofErr w:type="spellEnd"/>
          </w:p>
        </w:tc>
        <w:tc>
          <w:tcPr>
            <w:tcW w:w="599" w:type="pct"/>
            <w:tcBorders>
              <w:top w:val="nil"/>
              <w:bottom w:val="nil"/>
            </w:tcBorders>
            <w:vAlign w:val="center"/>
          </w:tcPr>
          <w:p w14:paraId="6D217CB8"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2</w:t>
            </w:r>
          </w:p>
        </w:tc>
        <w:tc>
          <w:tcPr>
            <w:tcW w:w="1069" w:type="pct"/>
            <w:tcBorders>
              <w:top w:val="nil"/>
              <w:bottom w:val="nil"/>
            </w:tcBorders>
            <w:vAlign w:val="center"/>
          </w:tcPr>
          <w:p w14:paraId="38BA9669" w14:textId="2C877569"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3</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51</w:t>
            </w:r>
          </w:p>
        </w:tc>
      </w:tr>
      <w:tr w:rsidR="00E67574" w:rsidRPr="00C94A70" w14:paraId="39EAA253" w14:textId="77777777" w:rsidTr="00815C57">
        <w:tc>
          <w:tcPr>
            <w:tcW w:w="567" w:type="pct"/>
            <w:tcBorders>
              <w:top w:val="nil"/>
              <w:bottom w:val="nil"/>
            </w:tcBorders>
            <w:vAlign w:val="center"/>
          </w:tcPr>
          <w:p w14:paraId="688BB53C"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6</w:t>
            </w:r>
          </w:p>
        </w:tc>
        <w:tc>
          <w:tcPr>
            <w:tcW w:w="2765" w:type="pct"/>
            <w:tcBorders>
              <w:top w:val="nil"/>
              <w:bottom w:val="nil"/>
            </w:tcBorders>
            <w:vAlign w:val="center"/>
          </w:tcPr>
          <w:p w14:paraId="52B49FD4"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Serratia marcescens</w:t>
            </w:r>
          </w:p>
        </w:tc>
        <w:tc>
          <w:tcPr>
            <w:tcW w:w="599" w:type="pct"/>
            <w:tcBorders>
              <w:top w:val="nil"/>
              <w:bottom w:val="nil"/>
            </w:tcBorders>
            <w:vAlign w:val="center"/>
          </w:tcPr>
          <w:p w14:paraId="76646A78"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2</w:t>
            </w:r>
          </w:p>
        </w:tc>
        <w:tc>
          <w:tcPr>
            <w:tcW w:w="1069" w:type="pct"/>
            <w:tcBorders>
              <w:top w:val="nil"/>
              <w:bottom w:val="nil"/>
            </w:tcBorders>
            <w:vAlign w:val="center"/>
          </w:tcPr>
          <w:p w14:paraId="0555715D" w14:textId="74E7794B"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3</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51</w:t>
            </w:r>
          </w:p>
        </w:tc>
      </w:tr>
      <w:tr w:rsidR="00E67574" w:rsidRPr="00C94A70" w14:paraId="79962452" w14:textId="77777777" w:rsidTr="00815C57">
        <w:tc>
          <w:tcPr>
            <w:tcW w:w="567" w:type="pct"/>
            <w:tcBorders>
              <w:top w:val="nil"/>
              <w:bottom w:val="nil"/>
            </w:tcBorders>
            <w:vAlign w:val="center"/>
          </w:tcPr>
          <w:p w14:paraId="7962241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7</w:t>
            </w:r>
          </w:p>
        </w:tc>
        <w:tc>
          <w:tcPr>
            <w:tcW w:w="2765" w:type="pct"/>
            <w:tcBorders>
              <w:top w:val="nil"/>
              <w:bottom w:val="nil"/>
            </w:tcBorders>
            <w:vAlign w:val="center"/>
          </w:tcPr>
          <w:p w14:paraId="450E78D1"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Salmonella sp.</w:t>
            </w:r>
          </w:p>
        </w:tc>
        <w:tc>
          <w:tcPr>
            <w:tcW w:w="599" w:type="pct"/>
            <w:tcBorders>
              <w:top w:val="nil"/>
              <w:bottom w:val="nil"/>
            </w:tcBorders>
            <w:vAlign w:val="center"/>
          </w:tcPr>
          <w:p w14:paraId="573DBF45"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2</w:t>
            </w:r>
          </w:p>
        </w:tc>
        <w:tc>
          <w:tcPr>
            <w:tcW w:w="1069" w:type="pct"/>
            <w:tcBorders>
              <w:top w:val="nil"/>
              <w:bottom w:val="nil"/>
            </w:tcBorders>
            <w:vAlign w:val="center"/>
          </w:tcPr>
          <w:p w14:paraId="76DF8FA2" w14:textId="0143D525"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3</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51</w:t>
            </w:r>
          </w:p>
        </w:tc>
      </w:tr>
      <w:tr w:rsidR="00E67574" w:rsidRPr="00C94A70" w14:paraId="49AB58AB" w14:textId="77777777" w:rsidTr="00815C57">
        <w:tc>
          <w:tcPr>
            <w:tcW w:w="567" w:type="pct"/>
            <w:tcBorders>
              <w:top w:val="nil"/>
              <w:bottom w:val="nil"/>
            </w:tcBorders>
            <w:vAlign w:val="center"/>
          </w:tcPr>
          <w:p w14:paraId="0FFC6257"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8</w:t>
            </w:r>
          </w:p>
        </w:tc>
        <w:tc>
          <w:tcPr>
            <w:tcW w:w="2765" w:type="pct"/>
            <w:tcBorders>
              <w:top w:val="nil"/>
              <w:bottom w:val="nil"/>
            </w:tcBorders>
            <w:vAlign w:val="center"/>
          </w:tcPr>
          <w:p w14:paraId="60556385"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Pseudomonas aeruginosa</w:t>
            </w:r>
          </w:p>
        </w:tc>
        <w:tc>
          <w:tcPr>
            <w:tcW w:w="599" w:type="pct"/>
            <w:tcBorders>
              <w:top w:val="nil"/>
              <w:bottom w:val="nil"/>
            </w:tcBorders>
            <w:vAlign w:val="center"/>
          </w:tcPr>
          <w:p w14:paraId="46D7BCD5"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p>
        </w:tc>
        <w:tc>
          <w:tcPr>
            <w:tcW w:w="1069" w:type="pct"/>
            <w:tcBorders>
              <w:top w:val="nil"/>
              <w:bottom w:val="nil"/>
            </w:tcBorders>
            <w:vAlign w:val="center"/>
          </w:tcPr>
          <w:p w14:paraId="5D741736" w14:textId="2553B75B"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75</w:t>
            </w:r>
          </w:p>
        </w:tc>
      </w:tr>
      <w:tr w:rsidR="00E67574" w:rsidRPr="00C94A70" w14:paraId="22BA4313" w14:textId="77777777" w:rsidTr="00815C57">
        <w:tc>
          <w:tcPr>
            <w:tcW w:w="567" w:type="pct"/>
            <w:tcBorders>
              <w:top w:val="nil"/>
              <w:bottom w:val="nil"/>
            </w:tcBorders>
            <w:vAlign w:val="center"/>
          </w:tcPr>
          <w:p w14:paraId="4D758118"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9</w:t>
            </w:r>
          </w:p>
        </w:tc>
        <w:tc>
          <w:tcPr>
            <w:tcW w:w="2765" w:type="pct"/>
            <w:tcBorders>
              <w:top w:val="nil"/>
              <w:bottom w:val="nil"/>
            </w:tcBorders>
            <w:vAlign w:val="center"/>
          </w:tcPr>
          <w:p w14:paraId="2FE661EB"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Enterobacter cloacae</w:t>
            </w:r>
          </w:p>
        </w:tc>
        <w:tc>
          <w:tcPr>
            <w:tcW w:w="599" w:type="pct"/>
            <w:tcBorders>
              <w:top w:val="nil"/>
              <w:bottom w:val="nil"/>
            </w:tcBorders>
            <w:vAlign w:val="center"/>
          </w:tcPr>
          <w:p w14:paraId="344732F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p>
        </w:tc>
        <w:tc>
          <w:tcPr>
            <w:tcW w:w="1069" w:type="pct"/>
            <w:tcBorders>
              <w:top w:val="nil"/>
              <w:bottom w:val="nil"/>
            </w:tcBorders>
            <w:vAlign w:val="center"/>
          </w:tcPr>
          <w:p w14:paraId="2A79EE5E" w14:textId="02E04FC9"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75</w:t>
            </w:r>
          </w:p>
        </w:tc>
      </w:tr>
      <w:tr w:rsidR="00E67574" w:rsidRPr="00C94A70" w14:paraId="2BA261D4" w14:textId="77777777" w:rsidTr="00815C57">
        <w:tc>
          <w:tcPr>
            <w:tcW w:w="567" w:type="pct"/>
            <w:tcBorders>
              <w:top w:val="nil"/>
              <w:bottom w:val="nil"/>
            </w:tcBorders>
            <w:vAlign w:val="center"/>
          </w:tcPr>
          <w:p w14:paraId="5EABE8D9"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lastRenderedPageBreak/>
              <w:t>10</w:t>
            </w:r>
          </w:p>
        </w:tc>
        <w:tc>
          <w:tcPr>
            <w:tcW w:w="2765" w:type="pct"/>
            <w:tcBorders>
              <w:top w:val="nil"/>
              <w:bottom w:val="nil"/>
            </w:tcBorders>
            <w:vAlign w:val="center"/>
          </w:tcPr>
          <w:p w14:paraId="0410A879"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Acinetobacter baumannii</w:t>
            </w:r>
          </w:p>
        </w:tc>
        <w:tc>
          <w:tcPr>
            <w:tcW w:w="599" w:type="pct"/>
            <w:tcBorders>
              <w:top w:val="nil"/>
              <w:bottom w:val="nil"/>
            </w:tcBorders>
            <w:vAlign w:val="center"/>
          </w:tcPr>
          <w:p w14:paraId="0E1BE30E"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p>
        </w:tc>
        <w:tc>
          <w:tcPr>
            <w:tcW w:w="1069" w:type="pct"/>
            <w:tcBorders>
              <w:top w:val="nil"/>
              <w:bottom w:val="nil"/>
            </w:tcBorders>
            <w:vAlign w:val="center"/>
          </w:tcPr>
          <w:p w14:paraId="5EE2534C" w14:textId="220A7DB9"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75</w:t>
            </w:r>
          </w:p>
        </w:tc>
      </w:tr>
      <w:tr w:rsidR="00E67574" w:rsidRPr="00C94A70" w14:paraId="17A641BF" w14:textId="77777777" w:rsidTr="00815C57">
        <w:tc>
          <w:tcPr>
            <w:tcW w:w="567" w:type="pct"/>
            <w:tcBorders>
              <w:top w:val="nil"/>
              <w:bottom w:val="nil"/>
            </w:tcBorders>
            <w:vAlign w:val="center"/>
          </w:tcPr>
          <w:p w14:paraId="0F8FC5FB"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11</w:t>
            </w:r>
          </w:p>
        </w:tc>
        <w:tc>
          <w:tcPr>
            <w:tcW w:w="2765" w:type="pct"/>
            <w:tcBorders>
              <w:top w:val="nil"/>
              <w:bottom w:val="nil"/>
            </w:tcBorders>
            <w:vAlign w:val="center"/>
          </w:tcPr>
          <w:p w14:paraId="19AAD7FF"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 xml:space="preserve">Acinetobacter </w:t>
            </w:r>
            <w:proofErr w:type="spellStart"/>
            <w:r w:rsidRPr="00C94A70">
              <w:rPr>
                <w:rFonts w:asciiTheme="minorHAnsi" w:hAnsiTheme="minorHAnsi" w:cstheme="minorHAnsi"/>
                <w:i/>
                <w:color w:val="000000"/>
                <w:sz w:val="18"/>
                <w:szCs w:val="18"/>
              </w:rPr>
              <w:t>lwoffii</w:t>
            </w:r>
            <w:proofErr w:type="spellEnd"/>
          </w:p>
        </w:tc>
        <w:tc>
          <w:tcPr>
            <w:tcW w:w="599" w:type="pct"/>
            <w:tcBorders>
              <w:top w:val="nil"/>
              <w:bottom w:val="nil"/>
            </w:tcBorders>
            <w:vAlign w:val="center"/>
          </w:tcPr>
          <w:p w14:paraId="4A2D12C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p>
        </w:tc>
        <w:tc>
          <w:tcPr>
            <w:tcW w:w="1069" w:type="pct"/>
            <w:tcBorders>
              <w:top w:val="nil"/>
              <w:bottom w:val="nil"/>
            </w:tcBorders>
            <w:vAlign w:val="center"/>
          </w:tcPr>
          <w:p w14:paraId="3E3523AC" w14:textId="374ECA9F"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75</w:t>
            </w:r>
          </w:p>
        </w:tc>
      </w:tr>
      <w:tr w:rsidR="00E67574" w:rsidRPr="00C94A70" w14:paraId="64DA7BCA" w14:textId="77777777" w:rsidTr="00815C57">
        <w:tc>
          <w:tcPr>
            <w:tcW w:w="567" w:type="pct"/>
            <w:tcBorders>
              <w:top w:val="nil"/>
              <w:bottom w:val="nil"/>
            </w:tcBorders>
            <w:vAlign w:val="center"/>
          </w:tcPr>
          <w:p w14:paraId="60350212"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13</w:t>
            </w:r>
          </w:p>
        </w:tc>
        <w:tc>
          <w:tcPr>
            <w:tcW w:w="2765" w:type="pct"/>
            <w:tcBorders>
              <w:top w:val="nil"/>
              <w:bottom w:val="nil"/>
            </w:tcBorders>
            <w:vAlign w:val="center"/>
          </w:tcPr>
          <w:p w14:paraId="6C9D4387"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 xml:space="preserve">Pseudomonas </w:t>
            </w:r>
            <w:proofErr w:type="spellStart"/>
            <w:r w:rsidRPr="00C94A70">
              <w:rPr>
                <w:rFonts w:asciiTheme="minorHAnsi" w:hAnsiTheme="minorHAnsi" w:cstheme="minorHAnsi"/>
                <w:i/>
                <w:color w:val="000000"/>
                <w:sz w:val="18"/>
                <w:szCs w:val="18"/>
              </w:rPr>
              <w:t>mendocina</w:t>
            </w:r>
            <w:proofErr w:type="spellEnd"/>
          </w:p>
        </w:tc>
        <w:tc>
          <w:tcPr>
            <w:tcW w:w="599" w:type="pct"/>
            <w:tcBorders>
              <w:top w:val="nil"/>
              <w:bottom w:val="nil"/>
            </w:tcBorders>
            <w:vAlign w:val="center"/>
          </w:tcPr>
          <w:p w14:paraId="68348DD3"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p>
        </w:tc>
        <w:tc>
          <w:tcPr>
            <w:tcW w:w="1069" w:type="pct"/>
            <w:tcBorders>
              <w:top w:val="nil"/>
              <w:bottom w:val="nil"/>
            </w:tcBorders>
            <w:vAlign w:val="center"/>
          </w:tcPr>
          <w:p w14:paraId="4331B430" w14:textId="377994BD"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75</w:t>
            </w:r>
          </w:p>
        </w:tc>
      </w:tr>
      <w:tr w:rsidR="00E67574" w:rsidRPr="00C94A70" w14:paraId="60BB3749" w14:textId="77777777" w:rsidTr="00815C57">
        <w:tc>
          <w:tcPr>
            <w:tcW w:w="3332" w:type="pct"/>
            <w:gridSpan w:val="2"/>
            <w:tcBorders>
              <w:top w:val="nil"/>
              <w:bottom w:val="single" w:sz="4" w:space="0" w:color="auto"/>
            </w:tcBorders>
            <w:vAlign w:val="center"/>
          </w:tcPr>
          <w:p w14:paraId="2CCBD2DE" w14:textId="6B91E4BE" w:rsidR="00E67574" w:rsidRPr="00C94A70" w:rsidRDefault="00E67574" w:rsidP="00AF33E9">
            <w:pPr>
              <w:pStyle w:val="Heading8"/>
              <w:spacing w:before="0" w:line="240" w:lineRule="auto"/>
              <w:rPr>
                <w:rFonts w:asciiTheme="minorHAnsi" w:hAnsiTheme="minorHAnsi" w:cstheme="minorHAnsi"/>
                <w:b/>
                <w:bCs/>
                <w:color w:val="000000"/>
                <w:sz w:val="18"/>
                <w:szCs w:val="18"/>
              </w:rPr>
            </w:pPr>
            <w:r w:rsidRPr="00C94A70">
              <w:rPr>
                <w:rFonts w:asciiTheme="minorHAnsi" w:hAnsiTheme="minorHAnsi" w:cstheme="minorHAnsi"/>
                <w:b/>
                <w:bCs/>
                <w:sz w:val="18"/>
                <w:szCs w:val="18"/>
              </w:rPr>
              <w:t>Total Gram-</w:t>
            </w:r>
            <w:proofErr w:type="spellStart"/>
            <w:r w:rsidRPr="00C94A70">
              <w:rPr>
                <w:rFonts w:asciiTheme="minorHAnsi" w:hAnsiTheme="minorHAnsi" w:cstheme="minorHAnsi"/>
                <w:b/>
                <w:bCs/>
                <w:sz w:val="18"/>
                <w:szCs w:val="18"/>
              </w:rPr>
              <w:t>Negative</w:t>
            </w:r>
            <w:proofErr w:type="spellEnd"/>
            <w:r w:rsidRPr="00C94A70">
              <w:rPr>
                <w:rFonts w:asciiTheme="minorHAnsi" w:hAnsiTheme="minorHAnsi" w:cstheme="minorHAnsi"/>
                <w:b/>
                <w:bCs/>
                <w:sz w:val="18"/>
                <w:szCs w:val="18"/>
              </w:rPr>
              <w:t xml:space="preserve"> </w:t>
            </w:r>
            <w:proofErr w:type="spellStart"/>
            <w:r w:rsidRPr="00C94A70">
              <w:rPr>
                <w:rFonts w:asciiTheme="minorHAnsi" w:hAnsiTheme="minorHAnsi" w:cstheme="minorHAnsi"/>
                <w:b/>
                <w:bCs/>
                <w:sz w:val="18"/>
                <w:szCs w:val="18"/>
              </w:rPr>
              <w:t>Bacteria</w:t>
            </w:r>
            <w:proofErr w:type="spellEnd"/>
          </w:p>
        </w:tc>
        <w:tc>
          <w:tcPr>
            <w:tcW w:w="599" w:type="pct"/>
            <w:tcBorders>
              <w:top w:val="nil"/>
              <w:bottom w:val="single" w:sz="4" w:space="0" w:color="auto"/>
            </w:tcBorders>
            <w:vAlign w:val="center"/>
          </w:tcPr>
          <w:p w14:paraId="22656A5D" w14:textId="77777777" w:rsidR="00E67574" w:rsidRPr="00C94A70" w:rsidRDefault="00E67574" w:rsidP="00AF33E9">
            <w:pPr>
              <w:spacing w:after="0" w:line="240" w:lineRule="auto"/>
              <w:jc w:val="center"/>
              <w:rPr>
                <w:rFonts w:asciiTheme="minorHAnsi" w:hAnsiTheme="minorHAnsi" w:cstheme="minorHAnsi"/>
                <w:b/>
                <w:bCs/>
                <w:color w:val="000000"/>
                <w:sz w:val="18"/>
                <w:szCs w:val="18"/>
              </w:rPr>
            </w:pPr>
            <w:r w:rsidRPr="00C94A70">
              <w:rPr>
                <w:rFonts w:asciiTheme="minorHAnsi" w:hAnsiTheme="minorHAnsi" w:cstheme="minorHAnsi"/>
                <w:b/>
                <w:bCs/>
                <w:color w:val="000000"/>
                <w:sz w:val="18"/>
                <w:szCs w:val="18"/>
              </w:rPr>
              <w:t>37</w:t>
            </w:r>
          </w:p>
        </w:tc>
        <w:tc>
          <w:tcPr>
            <w:tcW w:w="1069" w:type="pct"/>
            <w:tcBorders>
              <w:top w:val="nil"/>
              <w:bottom w:val="single" w:sz="4" w:space="0" w:color="auto"/>
            </w:tcBorders>
            <w:vAlign w:val="center"/>
          </w:tcPr>
          <w:p w14:paraId="27AE31DA" w14:textId="50FD3FB1" w:rsidR="00E67574" w:rsidRPr="00C94A70" w:rsidRDefault="00E67574" w:rsidP="00AF33E9">
            <w:pPr>
              <w:spacing w:after="0" w:line="240" w:lineRule="auto"/>
              <w:jc w:val="center"/>
              <w:rPr>
                <w:rFonts w:asciiTheme="minorHAnsi" w:hAnsiTheme="minorHAnsi" w:cstheme="minorHAnsi"/>
                <w:b/>
                <w:bCs/>
                <w:color w:val="000000"/>
                <w:sz w:val="18"/>
                <w:szCs w:val="18"/>
              </w:rPr>
            </w:pPr>
            <w:r w:rsidRPr="00C94A70">
              <w:rPr>
                <w:rFonts w:asciiTheme="minorHAnsi" w:hAnsiTheme="minorHAnsi" w:cstheme="minorHAnsi"/>
                <w:b/>
                <w:bCs/>
                <w:color w:val="000000"/>
                <w:sz w:val="18"/>
                <w:szCs w:val="18"/>
              </w:rPr>
              <w:t>64</w:t>
            </w:r>
            <w:r w:rsidR="00A510F5" w:rsidRPr="00C94A70">
              <w:rPr>
                <w:rFonts w:asciiTheme="minorHAnsi" w:hAnsiTheme="minorHAnsi" w:cstheme="minorHAnsi"/>
                <w:b/>
                <w:bCs/>
                <w:color w:val="000000"/>
                <w:sz w:val="18"/>
                <w:szCs w:val="18"/>
              </w:rPr>
              <w:t>.</w:t>
            </w:r>
            <w:r w:rsidRPr="00C94A70">
              <w:rPr>
                <w:rFonts w:asciiTheme="minorHAnsi" w:hAnsiTheme="minorHAnsi" w:cstheme="minorHAnsi"/>
                <w:b/>
                <w:bCs/>
                <w:color w:val="000000"/>
                <w:sz w:val="18"/>
                <w:szCs w:val="18"/>
              </w:rPr>
              <w:t>91</w:t>
            </w:r>
          </w:p>
        </w:tc>
      </w:tr>
      <w:tr w:rsidR="00E67574" w:rsidRPr="00C94A70" w14:paraId="2DFDEFFA" w14:textId="77777777" w:rsidTr="00815C57">
        <w:tc>
          <w:tcPr>
            <w:tcW w:w="5000" w:type="pct"/>
            <w:gridSpan w:val="4"/>
            <w:tcBorders>
              <w:top w:val="single" w:sz="4" w:space="0" w:color="auto"/>
              <w:bottom w:val="nil"/>
            </w:tcBorders>
            <w:vAlign w:val="center"/>
          </w:tcPr>
          <w:p w14:paraId="0944C31D" w14:textId="1797D98A" w:rsidR="00E67574" w:rsidRPr="00C94A70" w:rsidRDefault="00E67574" w:rsidP="00AF33E9">
            <w:pPr>
              <w:pStyle w:val="Heading8"/>
              <w:spacing w:before="0" w:line="240" w:lineRule="auto"/>
              <w:rPr>
                <w:rFonts w:asciiTheme="minorHAnsi" w:eastAsia="Calibri" w:hAnsiTheme="minorHAnsi" w:cstheme="minorHAnsi"/>
                <w:b/>
                <w:bCs/>
                <w:sz w:val="18"/>
                <w:szCs w:val="18"/>
              </w:rPr>
            </w:pPr>
            <w:r w:rsidRPr="00C94A70">
              <w:rPr>
                <w:rFonts w:asciiTheme="minorHAnsi" w:eastAsia="Calibri" w:hAnsiTheme="minorHAnsi" w:cstheme="minorHAnsi"/>
                <w:b/>
                <w:bCs/>
                <w:sz w:val="18"/>
                <w:szCs w:val="18"/>
              </w:rPr>
              <w:t>Gram-</w:t>
            </w:r>
            <w:proofErr w:type="spellStart"/>
            <w:r w:rsidRPr="00C94A70">
              <w:rPr>
                <w:rFonts w:asciiTheme="minorHAnsi" w:eastAsia="Calibri" w:hAnsiTheme="minorHAnsi" w:cstheme="minorHAnsi"/>
                <w:b/>
                <w:bCs/>
                <w:sz w:val="18"/>
                <w:szCs w:val="18"/>
              </w:rPr>
              <w:t>Positive</w:t>
            </w:r>
            <w:proofErr w:type="spellEnd"/>
            <w:r w:rsidRPr="00C94A70">
              <w:rPr>
                <w:rFonts w:asciiTheme="minorHAnsi" w:eastAsia="Calibri" w:hAnsiTheme="minorHAnsi" w:cstheme="minorHAnsi"/>
                <w:b/>
                <w:bCs/>
                <w:sz w:val="18"/>
                <w:szCs w:val="18"/>
              </w:rPr>
              <w:t xml:space="preserve"> </w:t>
            </w:r>
            <w:proofErr w:type="spellStart"/>
            <w:r w:rsidRPr="00C94A70">
              <w:rPr>
                <w:rFonts w:asciiTheme="minorHAnsi" w:eastAsia="Calibri" w:hAnsiTheme="minorHAnsi" w:cstheme="minorHAnsi"/>
                <w:b/>
                <w:bCs/>
                <w:sz w:val="18"/>
                <w:szCs w:val="18"/>
              </w:rPr>
              <w:t>Bacteria</w:t>
            </w:r>
            <w:proofErr w:type="spellEnd"/>
          </w:p>
        </w:tc>
      </w:tr>
      <w:tr w:rsidR="00E67574" w:rsidRPr="00C94A70" w14:paraId="63B501E4" w14:textId="77777777" w:rsidTr="00815C57">
        <w:tc>
          <w:tcPr>
            <w:tcW w:w="567" w:type="pct"/>
            <w:tcBorders>
              <w:top w:val="nil"/>
              <w:bottom w:val="nil"/>
            </w:tcBorders>
            <w:vAlign w:val="center"/>
          </w:tcPr>
          <w:p w14:paraId="01EC0564"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w:t>
            </w:r>
          </w:p>
        </w:tc>
        <w:tc>
          <w:tcPr>
            <w:tcW w:w="2765" w:type="pct"/>
            <w:tcBorders>
              <w:top w:val="nil"/>
              <w:bottom w:val="nil"/>
            </w:tcBorders>
            <w:vAlign w:val="center"/>
          </w:tcPr>
          <w:p w14:paraId="56979050" w14:textId="77777777" w:rsidR="00E67574" w:rsidRPr="00C94A70" w:rsidRDefault="00E67574" w:rsidP="00AF33E9">
            <w:pPr>
              <w:pStyle w:val="Heading9"/>
              <w:spacing w:before="0" w:line="240" w:lineRule="auto"/>
              <w:rPr>
                <w:rFonts w:asciiTheme="minorHAnsi" w:hAnsiTheme="minorHAnsi" w:cstheme="minorHAnsi"/>
                <w:sz w:val="18"/>
                <w:szCs w:val="18"/>
                <w:lang w:val="en-US"/>
              </w:rPr>
            </w:pPr>
            <w:proofErr w:type="spellStart"/>
            <w:r w:rsidRPr="00C94A70">
              <w:rPr>
                <w:rFonts w:asciiTheme="minorHAnsi" w:hAnsiTheme="minorHAnsi" w:cstheme="minorHAnsi"/>
                <w:sz w:val="18"/>
                <w:szCs w:val="18"/>
              </w:rPr>
              <w:t>Staphylococcus</w:t>
            </w:r>
            <w:proofErr w:type="spellEnd"/>
            <w:r w:rsidRPr="00C94A70">
              <w:rPr>
                <w:rFonts w:asciiTheme="minorHAnsi" w:hAnsiTheme="minorHAnsi" w:cstheme="minorHAnsi"/>
                <w:sz w:val="18"/>
                <w:szCs w:val="18"/>
              </w:rPr>
              <w:t xml:space="preserve"> </w:t>
            </w:r>
            <w:proofErr w:type="spellStart"/>
            <w:r w:rsidRPr="00C94A70">
              <w:rPr>
                <w:rFonts w:asciiTheme="minorHAnsi" w:hAnsiTheme="minorHAnsi" w:cstheme="minorHAnsi"/>
                <w:sz w:val="18"/>
                <w:szCs w:val="18"/>
              </w:rPr>
              <w:t>aureus</w:t>
            </w:r>
            <w:proofErr w:type="spellEnd"/>
            <w:r w:rsidRPr="00C94A70">
              <w:rPr>
                <w:rFonts w:asciiTheme="minorHAnsi" w:hAnsiTheme="minorHAnsi" w:cstheme="minorHAnsi"/>
                <w:sz w:val="18"/>
                <w:szCs w:val="18"/>
              </w:rPr>
              <w:t xml:space="preserve"> </w:t>
            </w:r>
            <w:proofErr w:type="spellStart"/>
            <w:r w:rsidRPr="00C94A70">
              <w:rPr>
                <w:rFonts w:asciiTheme="minorHAnsi" w:hAnsiTheme="minorHAnsi" w:cstheme="minorHAnsi"/>
                <w:sz w:val="18"/>
                <w:szCs w:val="18"/>
              </w:rPr>
              <w:t>ss</w:t>
            </w:r>
            <w:proofErr w:type="spellEnd"/>
            <w:r w:rsidRPr="00C94A70">
              <w:rPr>
                <w:rFonts w:asciiTheme="minorHAnsi" w:hAnsiTheme="minorHAnsi" w:cstheme="minorHAnsi"/>
                <w:sz w:val="18"/>
                <w:szCs w:val="18"/>
              </w:rPr>
              <w:t xml:space="preserve">. </w:t>
            </w:r>
            <w:proofErr w:type="spellStart"/>
            <w:r w:rsidRPr="00C94A70">
              <w:rPr>
                <w:rFonts w:asciiTheme="minorHAnsi" w:hAnsiTheme="minorHAnsi" w:cstheme="minorHAnsi"/>
                <w:sz w:val="18"/>
                <w:szCs w:val="18"/>
              </w:rPr>
              <w:t>aureus</w:t>
            </w:r>
            <w:proofErr w:type="spellEnd"/>
          </w:p>
        </w:tc>
        <w:tc>
          <w:tcPr>
            <w:tcW w:w="599" w:type="pct"/>
            <w:tcBorders>
              <w:top w:val="nil"/>
              <w:bottom w:val="nil"/>
            </w:tcBorders>
            <w:vAlign w:val="center"/>
          </w:tcPr>
          <w:p w14:paraId="0F8835BE"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10</w:t>
            </w:r>
          </w:p>
        </w:tc>
        <w:tc>
          <w:tcPr>
            <w:tcW w:w="1069" w:type="pct"/>
            <w:tcBorders>
              <w:top w:val="nil"/>
              <w:bottom w:val="nil"/>
            </w:tcBorders>
            <w:vAlign w:val="center"/>
          </w:tcPr>
          <w:p w14:paraId="77827AFC" w14:textId="5F4755C4"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17</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54</w:t>
            </w:r>
          </w:p>
        </w:tc>
      </w:tr>
      <w:tr w:rsidR="00E67574" w:rsidRPr="00C94A70" w14:paraId="4BE08449" w14:textId="77777777" w:rsidTr="00815C57">
        <w:tc>
          <w:tcPr>
            <w:tcW w:w="567" w:type="pct"/>
            <w:tcBorders>
              <w:top w:val="nil"/>
              <w:bottom w:val="nil"/>
            </w:tcBorders>
            <w:vAlign w:val="center"/>
          </w:tcPr>
          <w:p w14:paraId="32167AD8"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2</w:t>
            </w:r>
          </w:p>
        </w:tc>
        <w:tc>
          <w:tcPr>
            <w:tcW w:w="2765" w:type="pct"/>
            <w:tcBorders>
              <w:top w:val="nil"/>
              <w:bottom w:val="nil"/>
            </w:tcBorders>
            <w:vAlign w:val="center"/>
          </w:tcPr>
          <w:p w14:paraId="23738357"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Streptococcus suis</w:t>
            </w:r>
          </w:p>
        </w:tc>
        <w:tc>
          <w:tcPr>
            <w:tcW w:w="599" w:type="pct"/>
            <w:tcBorders>
              <w:top w:val="nil"/>
              <w:bottom w:val="nil"/>
            </w:tcBorders>
            <w:vAlign w:val="center"/>
          </w:tcPr>
          <w:p w14:paraId="21827667"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4</w:t>
            </w:r>
          </w:p>
        </w:tc>
        <w:tc>
          <w:tcPr>
            <w:tcW w:w="1069" w:type="pct"/>
            <w:tcBorders>
              <w:top w:val="nil"/>
              <w:bottom w:val="nil"/>
            </w:tcBorders>
            <w:vAlign w:val="center"/>
          </w:tcPr>
          <w:p w14:paraId="25050012" w14:textId="25583EBC"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7</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02</w:t>
            </w:r>
          </w:p>
        </w:tc>
      </w:tr>
      <w:tr w:rsidR="00E67574" w:rsidRPr="00C94A70" w14:paraId="716556CC" w14:textId="77777777" w:rsidTr="00815C57">
        <w:tc>
          <w:tcPr>
            <w:tcW w:w="567" w:type="pct"/>
            <w:tcBorders>
              <w:top w:val="nil"/>
              <w:bottom w:val="nil"/>
            </w:tcBorders>
            <w:vAlign w:val="center"/>
          </w:tcPr>
          <w:p w14:paraId="7F3FC4E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3</w:t>
            </w:r>
          </w:p>
        </w:tc>
        <w:tc>
          <w:tcPr>
            <w:tcW w:w="2765" w:type="pct"/>
            <w:tcBorders>
              <w:top w:val="nil"/>
              <w:bottom w:val="nil"/>
            </w:tcBorders>
            <w:vAlign w:val="center"/>
          </w:tcPr>
          <w:p w14:paraId="4C70B5D8"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Staphylococcus epidermidis</w:t>
            </w:r>
          </w:p>
        </w:tc>
        <w:tc>
          <w:tcPr>
            <w:tcW w:w="599" w:type="pct"/>
            <w:tcBorders>
              <w:top w:val="nil"/>
              <w:bottom w:val="nil"/>
            </w:tcBorders>
            <w:vAlign w:val="center"/>
          </w:tcPr>
          <w:p w14:paraId="1AFCEBAC"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4</w:t>
            </w:r>
          </w:p>
        </w:tc>
        <w:tc>
          <w:tcPr>
            <w:tcW w:w="1069" w:type="pct"/>
            <w:tcBorders>
              <w:top w:val="nil"/>
              <w:bottom w:val="nil"/>
            </w:tcBorders>
            <w:vAlign w:val="center"/>
          </w:tcPr>
          <w:p w14:paraId="73E9F4E8" w14:textId="46095922"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7</w:t>
            </w:r>
            <w:r w:rsidR="00A510F5" w:rsidRPr="00C94A70">
              <w:rPr>
                <w:rFonts w:asciiTheme="minorHAnsi" w:eastAsia="Times New Roman" w:hAnsiTheme="minorHAnsi" w:cstheme="minorHAnsi"/>
                <w:sz w:val="18"/>
                <w:szCs w:val="18"/>
                <w:lang w:eastAsia="id-ID"/>
              </w:rPr>
              <w:t>.</w:t>
            </w:r>
            <w:r w:rsidRPr="00C94A70">
              <w:rPr>
                <w:rFonts w:asciiTheme="minorHAnsi" w:eastAsia="Times New Roman" w:hAnsiTheme="minorHAnsi" w:cstheme="minorHAnsi"/>
                <w:sz w:val="18"/>
                <w:szCs w:val="18"/>
                <w:lang w:eastAsia="id-ID"/>
              </w:rPr>
              <w:t>02</w:t>
            </w:r>
          </w:p>
        </w:tc>
      </w:tr>
      <w:tr w:rsidR="00E67574" w:rsidRPr="00C94A70" w14:paraId="1CEDF932" w14:textId="77777777" w:rsidTr="00815C57">
        <w:tc>
          <w:tcPr>
            <w:tcW w:w="567" w:type="pct"/>
            <w:tcBorders>
              <w:top w:val="nil"/>
              <w:bottom w:val="nil"/>
            </w:tcBorders>
            <w:vAlign w:val="center"/>
          </w:tcPr>
          <w:p w14:paraId="57BFCD50"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eastAsia="Times New Roman" w:hAnsiTheme="minorHAnsi" w:cstheme="minorHAnsi"/>
                <w:sz w:val="18"/>
                <w:szCs w:val="18"/>
                <w:lang w:eastAsia="id-ID"/>
              </w:rPr>
              <w:t>4</w:t>
            </w:r>
          </w:p>
        </w:tc>
        <w:tc>
          <w:tcPr>
            <w:tcW w:w="2765" w:type="pct"/>
            <w:tcBorders>
              <w:top w:val="nil"/>
              <w:bottom w:val="nil"/>
            </w:tcBorders>
            <w:vAlign w:val="center"/>
          </w:tcPr>
          <w:p w14:paraId="743463FB" w14:textId="77777777" w:rsidR="00E67574" w:rsidRPr="00C94A70" w:rsidRDefault="00E67574" w:rsidP="00AF33E9">
            <w:pPr>
              <w:spacing w:after="0" w:line="240" w:lineRule="auto"/>
              <w:rPr>
                <w:rFonts w:asciiTheme="minorHAnsi" w:hAnsiTheme="minorHAnsi" w:cstheme="minorHAnsi"/>
                <w:i/>
                <w:sz w:val="18"/>
                <w:szCs w:val="18"/>
              </w:rPr>
            </w:pPr>
            <w:r w:rsidRPr="00C94A70">
              <w:rPr>
                <w:rFonts w:asciiTheme="minorHAnsi" w:hAnsiTheme="minorHAnsi" w:cstheme="minorHAnsi"/>
                <w:i/>
                <w:color w:val="000000"/>
                <w:sz w:val="18"/>
                <w:szCs w:val="18"/>
              </w:rPr>
              <w:t>Enterococcus faecalis</w:t>
            </w:r>
          </w:p>
        </w:tc>
        <w:tc>
          <w:tcPr>
            <w:tcW w:w="599" w:type="pct"/>
            <w:tcBorders>
              <w:top w:val="nil"/>
              <w:bottom w:val="nil"/>
            </w:tcBorders>
            <w:vAlign w:val="center"/>
          </w:tcPr>
          <w:p w14:paraId="18EC7FEF" w14:textId="77777777"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2</w:t>
            </w:r>
          </w:p>
        </w:tc>
        <w:tc>
          <w:tcPr>
            <w:tcW w:w="1069" w:type="pct"/>
            <w:tcBorders>
              <w:top w:val="nil"/>
              <w:bottom w:val="nil"/>
            </w:tcBorders>
            <w:vAlign w:val="center"/>
          </w:tcPr>
          <w:p w14:paraId="43F4AF18" w14:textId="6676EA20" w:rsidR="00E67574" w:rsidRPr="00C94A70" w:rsidRDefault="00E67574" w:rsidP="00AF33E9">
            <w:pPr>
              <w:spacing w:after="0" w:line="240" w:lineRule="auto"/>
              <w:jc w:val="center"/>
              <w:rPr>
                <w:rFonts w:asciiTheme="minorHAnsi" w:eastAsia="Times New Roman" w:hAnsiTheme="minorHAnsi" w:cstheme="minorHAnsi"/>
                <w:sz w:val="18"/>
                <w:szCs w:val="18"/>
                <w:lang w:eastAsia="id-ID"/>
              </w:rPr>
            </w:pPr>
            <w:r w:rsidRPr="00C94A70">
              <w:rPr>
                <w:rFonts w:asciiTheme="minorHAnsi" w:hAnsiTheme="minorHAnsi" w:cstheme="minorHAnsi"/>
                <w:color w:val="000000"/>
                <w:sz w:val="18"/>
                <w:szCs w:val="18"/>
              </w:rPr>
              <w:t>3</w:t>
            </w:r>
            <w:r w:rsidR="00A510F5" w:rsidRPr="00C94A70">
              <w:rPr>
                <w:rFonts w:asciiTheme="minorHAnsi" w:hAnsiTheme="minorHAnsi" w:cstheme="minorHAnsi"/>
                <w:color w:val="000000"/>
                <w:sz w:val="18"/>
                <w:szCs w:val="18"/>
              </w:rPr>
              <w:t>.</w:t>
            </w:r>
            <w:r w:rsidRPr="00C94A70">
              <w:rPr>
                <w:rFonts w:asciiTheme="minorHAnsi" w:hAnsiTheme="minorHAnsi" w:cstheme="minorHAnsi"/>
                <w:color w:val="000000"/>
                <w:sz w:val="18"/>
                <w:szCs w:val="18"/>
              </w:rPr>
              <w:t>51</w:t>
            </w:r>
          </w:p>
        </w:tc>
      </w:tr>
      <w:tr w:rsidR="00E67574" w:rsidRPr="00C94A70" w14:paraId="1E989190" w14:textId="77777777" w:rsidTr="00815C57">
        <w:tc>
          <w:tcPr>
            <w:tcW w:w="3332" w:type="pct"/>
            <w:gridSpan w:val="2"/>
            <w:tcBorders>
              <w:top w:val="nil"/>
              <w:bottom w:val="single" w:sz="4" w:space="0" w:color="auto"/>
            </w:tcBorders>
            <w:vAlign w:val="center"/>
          </w:tcPr>
          <w:p w14:paraId="707DC5F5" w14:textId="5F8482E7" w:rsidR="00E67574" w:rsidRPr="00C94A70" w:rsidRDefault="00E67574" w:rsidP="00AF33E9">
            <w:pPr>
              <w:pStyle w:val="Heading8"/>
              <w:spacing w:before="0" w:line="240" w:lineRule="auto"/>
              <w:rPr>
                <w:rFonts w:asciiTheme="minorHAnsi" w:hAnsiTheme="minorHAnsi" w:cstheme="minorHAnsi"/>
                <w:b/>
                <w:bCs/>
                <w:sz w:val="18"/>
                <w:szCs w:val="18"/>
              </w:rPr>
            </w:pPr>
            <w:r w:rsidRPr="00C94A70">
              <w:rPr>
                <w:rFonts w:asciiTheme="minorHAnsi" w:hAnsiTheme="minorHAnsi" w:cstheme="minorHAnsi"/>
                <w:b/>
                <w:bCs/>
                <w:sz w:val="18"/>
                <w:szCs w:val="18"/>
              </w:rPr>
              <w:t xml:space="preserve">Total </w:t>
            </w:r>
            <w:r w:rsidRPr="00C94A70">
              <w:rPr>
                <w:rFonts w:asciiTheme="minorHAnsi" w:eastAsia="Calibri" w:hAnsiTheme="minorHAnsi" w:cstheme="minorHAnsi"/>
                <w:b/>
                <w:bCs/>
                <w:sz w:val="18"/>
                <w:szCs w:val="18"/>
              </w:rPr>
              <w:t>Gram-</w:t>
            </w:r>
            <w:proofErr w:type="spellStart"/>
            <w:r w:rsidRPr="00C94A70">
              <w:rPr>
                <w:rFonts w:asciiTheme="minorHAnsi" w:eastAsia="Calibri" w:hAnsiTheme="minorHAnsi" w:cstheme="minorHAnsi"/>
                <w:b/>
                <w:bCs/>
                <w:sz w:val="18"/>
                <w:szCs w:val="18"/>
              </w:rPr>
              <w:t>Positive</w:t>
            </w:r>
            <w:proofErr w:type="spellEnd"/>
            <w:r w:rsidRPr="00C94A70">
              <w:rPr>
                <w:rFonts w:asciiTheme="minorHAnsi" w:eastAsia="Calibri" w:hAnsiTheme="minorHAnsi" w:cstheme="minorHAnsi"/>
                <w:b/>
                <w:bCs/>
                <w:sz w:val="18"/>
                <w:szCs w:val="18"/>
              </w:rPr>
              <w:t xml:space="preserve"> </w:t>
            </w:r>
            <w:proofErr w:type="spellStart"/>
            <w:r w:rsidRPr="00C94A70">
              <w:rPr>
                <w:rFonts w:asciiTheme="minorHAnsi" w:eastAsia="Calibri" w:hAnsiTheme="minorHAnsi" w:cstheme="minorHAnsi"/>
                <w:b/>
                <w:bCs/>
                <w:sz w:val="18"/>
                <w:szCs w:val="18"/>
              </w:rPr>
              <w:t>Bacteria</w:t>
            </w:r>
            <w:proofErr w:type="spellEnd"/>
          </w:p>
        </w:tc>
        <w:tc>
          <w:tcPr>
            <w:tcW w:w="599" w:type="pct"/>
            <w:tcBorders>
              <w:top w:val="nil"/>
              <w:bottom w:val="single" w:sz="4" w:space="0" w:color="auto"/>
            </w:tcBorders>
            <w:vAlign w:val="center"/>
          </w:tcPr>
          <w:p w14:paraId="24203D32" w14:textId="77777777" w:rsidR="00E67574" w:rsidRPr="00C94A70" w:rsidRDefault="00E67574" w:rsidP="00AF33E9">
            <w:pPr>
              <w:spacing w:after="0" w:line="240" w:lineRule="auto"/>
              <w:jc w:val="center"/>
              <w:rPr>
                <w:rFonts w:asciiTheme="minorHAnsi" w:eastAsia="Times New Roman" w:hAnsiTheme="minorHAnsi" w:cstheme="minorHAnsi"/>
                <w:b/>
                <w:bCs/>
                <w:sz w:val="18"/>
                <w:szCs w:val="18"/>
                <w:lang w:eastAsia="id-ID"/>
              </w:rPr>
            </w:pPr>
            <w:r w:rsidRPr="00C94A70">
              <w:rPr>
                <w:rFonts w:asciiTheme="minorHAnsi" w:eastAsia="Times New Roman" w:hAnsiTheme="minorHAnsi" w:cstheme="minorHAnsi"/>
                <w:b/>
                <w:bCs/>
                <w:sz w:val="18"/>
                <w:szCs w:val="18"/>
                <w:lang w:eastAsia="id-ID"/>
              </w:rPr>
              <w:t>20</w:t>
            </w:r>
          </w:p>
        </w:tc>
        <w:tc>
          <w:tcPr>
            <w:tcW w:w="1069" w:type="pct"/>
            <w:tcBorders>
              <w:top w:val="nil"/>
              <w:bottom w:val="single" w:sz="4" w:space="0" w:color="auto"/>
            </w:tcBorders>
            <w:vAlign w:val="center"/>
          </w:tcPr>
          <w:p w14:paraId="03D85DF1" w14:textId="656FB785" w:rsidR="00E67574" w:rsidRPr="00C94A70" w:rsidRDefault="00E67574" w:rsidP="00AF33E9">
            <w:pPr>
              <w:spacing w:after="0" w:line="240" w:lineRule="auto"/>
              <w:jc w:val="center"/>
              <w:rPr>
                <w:rFonts w:asciiTheme="minorHAnsi" w:eastAsia="Times New Roman" w:hAnsiTheme="minorHAnsi" w:cstheme="minorHAnsi"/>
                <w:b/>
                <w:bCs/>
                <w:sz w:val="18"/>
                <w:szCs w:val="18"/>
                <w:lang w:eastAsia="id-ID"/>
              </w:rPr>
            </w:pPr>
            <w:r w:rsidRPr="00C94A70">
              <w:rPr>
                <w:rFonts w:asciiTheme="minorHAnsi" w:eastAsia="Times New Roman" w:hAnsiTheme="minorHAnsi" w:cstheme="minorHAnsi"/>
                <w:b/>
                <w:bCs/>
                <w:sz w:val="18"/>
                <w:szCs w:val="18"/>
                <w:lang w:eastAsia="id-ID"/>
              </w:rPr>
              <w:t>35</w:t>
            </w:r>
            <w:r w:rsidR="00A510F5" w:rsidRPr="00C94A70">
              <w:rPr>
                <w:rFonts w:asciiTheme="minorHAnsi" w:eastAsia="Times New Roman" w:hAnsiTheme="minorHAnsi" w:cstheme="minorHAnsi"/>
                <w:b/>
                <w:bCs/>
                <w:sz w:val="18"/>
                <w:szCs w:val="18"/>
                <w:lang w:eastAsia="id-ID"/>
              </w:rPr>
              <w:t>.</w:t>
            </w:r>
            <w:r w:rsidRPr="00C94A70">
              <w:rPr>
                <w:rFonts w:asciiTheme="minorHAnsi" w:eastAsia="Times New Roman" w:hAnsiTheme="minorHAnsi" w:cstheme="minorHAnsi"/>
                <w:b/>
                <w:bCs/>
                <w:sz w:val="18"/>
                <w:szCs w:val="18"/>
                <w:lang w:eastAsia="id-ID"/>
              </w:rPr>
              <w:t>09</w:t>
            </w:r>
          </w:p>
        </w:tc>
      </w:tr>
      <w:tr w:rsidR="00E67574" w:rsidRPr="00C94A70" w14:paraId="0043CEB8" w14:textId="77777777" w:rsidTr="00815C57">
        <w:tc>
          <w:tcPr>
            <w:tcW w:w="3332" w:type="pct"/>
            <w:gridSpan w:val="2"/>
            <w:tcBorders>
              <w:top w:val="single" w:sz="4" w:space="0" w:color="auto"/>
            </w:tcBorders>
            <w:vAlign w:val="center"/>
          </w:tcPr>
          <w:p w14:paraId="5E14FED4" w14:textId="77777777" w:rsidR="00E67574" w:rsidRPr="00C94A70" w:rsidRDefault="00E67574" w:rsidP="00AF33E9">
            <w:pPr>
              <w:pStyle w:val="Heading8"/>
              <w:spacing w:before="0" w:line="240" w:lineRule="auto"/>
              <w:rPr>
                <w:rFonts w:asciiTheme="minorHAnsi" w:hAnsiTheme="minorHAnsi" w:cstheme="minorHAnsi"/>
                <w:b/>
                <w:bCs/>
                <w:sz w:val="18"/>
                <w:szCs w:val="18"/>
              </w:rPr>
            </w:pPr>
            <w:r w:rsidRPr="00C94A70">
              <w:rPr>
                <w:rFonts w:asciiTheme="minorHAnsi" w:hAnsiTheme="minorHAnsi" w:cstheme="minorHAnsi"/>
                <w:b/>
                <w:bCs/>
                <w:sz w:val="18"/>
                <w:szCs w:val="18"/>
              </w:rPr>
              <w:t xml:space="preserve">Total </w:t>
            </w:r>
          </w:p>
        </w:tc>
        <w:tc>
          <w:tcPr>
            <w:tcW w:w="599" w:type="pct"/>
            <w:tcBorders>
              <w:top w:val="single" w:sz="4" w:space="0" w:color="auto"/>
            </w:tcBorders>
            <w:vAlign w:val="center"/>
          </w:tcPr>
          <w:p w14:paraId="6680E9B9" w14:textId="77777777" w:rsidR="00E67574" w:rsidRPr="00C94A70" w:rsidRDefault="00E67574" w:rsidP="00AF33E9">
            <w:pPr>
              <w:spacing w:after="0" w:line="240" w:lineRule="auto"/>
              <w:jc w:val="center"/>
              <w:rPr>
                <w:rFonts w:asciiTheme="minorHAnsi" w:eastAsia="Times New Roman" w:hAnsiTheme="minorHAnsi" w:cstheme="minorHAnsi"/>
                <w:b/>
                <w:bCs/>
                <w:sz w:val="18"/>
                <w:szCs w:val="18"/>
                <w:lang w:eastAsia="id-ID"/>
              </w:rPr>
            </w:pPr>
            <w:r w:rsidRPr="00C94A70">
              <w:rPr>
                <w:rFonts w:asciiTheme="minorHAnsi" w:eastAsia="Times New Roman" w:hAnsiTheme="minorHAnsi" w:cstheme="minorHAnsi"/>
                <w:b/>
                <w:bCs/>
                <w:sz w:val="18"/>
                <w:szCs w:val="18"/>
                <w:lang w:eastAsia="id-ID"/>
              </w:rPr>
              <w:t>57</w:t>
            </w:r>
          </w:p>
        </w:tc>
        <w:tc>
          <w:tcPr>
            <w:tcW w:w="1069" w:type="pct"/>
            <w:tcBorders>
              <w:top w:val="single" w:sz="4" w:space="0" w:color="auto"/>
            </w:tcBorders>
            <w:vAlign w:val="center"/>
          </w:tcPr>
          <w:p w14:paraId="7A934ED2" w14:textId="7BF02207" w:rsidR="00E67574" w:rsidRPr="00C94A70" w:rsidRDefault="00E67574" w:rsidP="00AF33E9">
            <w:pPr>
              <w:spacing w:after="0" w:line="240" w:lineRule="auto"/>
              <w:jc w:val="center"/>
              <w:rPr>
                <w:rFonts w:asciiTheme="minorHAnsi" w:eastAsia="Times New Roman" w:hAnsiTheme="minorHAnsi" w:cstheme="minorHAnsi"/>
                <w:b/>
                <w:bCs/>
                <w:sz w:val="18"/>
                <w:szCs w:val="18"/>
                <w:lang w:eastAsia="id-ID"/>
              </w:rPr>
            </w:pPr>
            <w:r w:rsidRPr="00C94A70">
              <w:rPr>
                <w:rFonts w:asciiTheme="minorHAnsi" w:eastAsia="Times New Roman" w:hAnsiTheme="minorHAnsi" w:cstheme="minorHAnsi"/>
                <w:b/>
                <w:bCs/>
                <w:sz w:val="18"/>
                <w:szCs w:val="18"/>
                <w:lang w:eastAsia="id-ID"/>
              </w:rPr>
              <w:t>100</w:t>
            </w:r>
            <w:r w:rsidR="00A510F5" w:rsidRPr="00C94A70">
              <w:rPr>
                <w:rFonts w:asciiTheme="minorHAnsi" w:eastAsia="Times New Roman" w:hAnsiTheme="minorHAnsi" w:cstheme="minorHAnsi"/>
                <w:b/>
                <w:bCs/>
                <w:sz w:val="18"/>
                <w:szCs w:val="18"/>
                <w:lang w:eastAsia="id-ID"/>
              </w:rPr>
              <w:t>.</w:t>
            </w:r>
            <w:r w:rsidRPr="00C94A70">
              <w:rPr>
                <w:rFonts w:asciiTheme="minorHAnsi" w:eastAsia="Times New Roman" w:hAnsiTheme="minorHAnsi" w:cstheme="minorHAnsi"/>
                <w:b/>
                <w:bCs/>
                <w:sz w:val="18"/>
                <w:szCs w:val="18"/>
                <w:lang w:eastAsia="id-ID"/>
              </w:rPr>
              <w:t>0</w:t>
            </w:r>
          </w:p>
        </w:tc>
      </w:tr>
    </w:tbl>
    <w:p w14:paraId="3EE0C352" w14:textId="77777777" w:rsidR="00815C57" w:rsidRPr="00C94A70" w:rsidRDefault="00815C57" w:rsidP="00903364">
      <w:pPr>
        <w:spacing w:after="0"/>
        <w:ind w:firstLine="720"/>
        <w:rPr>
          <w:rFonts w:asciiTheme="minorHAnsi" w:hAnsiTheme="minorHAnsi" w:cstheme="minorHAnsi"/>
          <w:bCs/>
          <w:sz w:val="20"/>
          <w:szCs w:val="20"/>
        </w:rPr>
      </w:pPr>
    </w:p>
    <w:p w14:paraId="3C5FDCFA" w14:textId="1E1248DA" w:rsidR="00815C57" w:rsidRPr="00C94A70" w:rsidRDefault="00815C57" w:rsidP="00903364">
      <w:pPr>
        <w:spacing w:after="0"/>
        <w:ind w:firstLine="720"/>
        <w:jc w:val="both"/>
        <w:rPr>
          <w:rFonts w:asciiTheme="minorHAnsi" w:hAnsiTheme="minorHAnsi" w:cstheme="minorHAnsi"/>
          <w:sz w:val="20"/>
          <w:szCs w:val="20"/>
          <w:lang w:val="en-ID"/>
        </w:rPr>
      </w:pPr>
      <w:r w:rsidRPr="00C94A70">
        <w:rPr>
          <w:rFonts w:asciiTheme="minorHAnsi" w:hAnsiTheme="minorHAnsi" w:cstheme="minorHAnsi"/>
          <w:sz w:val="20"/>
          <w:szCs w:val="20"/>
          <w:lang w:val="en-ID"/>
        </w:rPr>
        <w:t>The bacterial profile (</w:t>
      </w:r>
      <w:r w:rsidRPr="00004ADB">
        <w:rPr>
          <w:rFonts w:asciiTheme="minorHAnsi" w:hAnsiTheme="minorHAnsi" w:cstheme="minorHAnsi"/>
          <w:b/>
          <w:bCs/>
          <w:sz w:val="20"/>
          <w:szCs w:val="20"/>
          <w:lang w:val="en-ID"/>
        </w:rPr>
        <w:t>Table 3</w:t>
      </w:r>
      <w:r w:rsidRPr="00C94A70">
        <w:rPr>
          <w:rFonts w:asciiTheme="minorHAnsi" w:hAnsiTheme="minorHAnsi" w:cstheme="minorHAnsi"/>
          <w:sz w:val="20"/>
          <w:szCs w:val="20"/>
          <w:lang w:val="en-ID"/>
        </w:rPr>
        <w:t xml:space="preserve">) shows a clear predominance of Gram-negative pathogens (64.91%), with </w:t>
      </w:r>
      <w:r w:rsidRPr="00C94A70">
        <w:rPr>
          <w:rFonts w:asciiTheme="minorHAnsi" w:hAnsiTheme="minorHAnsi" w:cstheme="minorHAnsi"/>
          <w:i/>
          <w:iCs/>
          <w:sz w:val="20"/>
          <w:szCs w:val="20"/>
          <w:lang w:val="en-ID"/>
        </w:rPr>
        <w:t xml:space="preserve">Burkholderia </w:t>
      </w:r>
      <w:proofErr w:type="spellStart"/>
      <w:r w:rsidRPr="00C94A70">
        <w:rPr>
          <w:rFonts w:asciiTheme="minorHAnsi" w:hAnsiTheme="minorHAnsi" w:cstheme="minorHAnsi"/>
          <w:i/>
          <w:iCs/>
          <w:sz w:val="20"/>
          <w:szCs w:val="20"/>
          <w:lang w:val="en-ID"/>
        </w:rPr>
        <w:t>cepacia</w:t>
      </w:r>
      <w:proofErr w:type="spellEnd"/>
      <w:r w:rsidRPr="00C94A70">
        <w:rPr>
          <w:rFonts w:asciiTheme="minorHAnsi" w:hAnsiTheme="minorHAnsi" w:cstheme="minorHAnsi"/>
          <w:i/>
          <w:iCs/>
          <w:sz w:val="20"/>
          <w:szCs w:val="20"/>
          <w:lang w:val="en-ID"/>
        </w:rPr>
        <w:t>, Escherichia coli</w:t>
      </w:r>
      <w:r w:rsidRPr="00C94A70">
        <w:rPr>
          <w:rFonts w:asciiTheme="minorHAnsi" w:hAnsiTheme="minorHAnsi" w:cstheme="minorHAnsi"/>
          <w:sz w:val="20"/>
          <w:szCs w:val="20"/>
          <w:lang w:val="en-ID"/>
        </w:rPr>
        <w:t xml:space="preserve">, and </w:t>
      </w:r>
      <w:r w:rsidRPr="00C94A70">
        <w:rPr>
          <w:rFonts w:asciiTheme="minorHAnsi" w:hAnsiTheme="minorHAnsi" w:cstheme="minorHAnsi"/>
          <w:i/>
          <w:iCs/>
          <w:sz w:val="20"/>
          <w:szCs w:val="20"/>
          <w:lang w:val="en-ID"/>
        </w:rPr>
        <w:t>Klebsiella pneumoniae</w:t>
      </w:r>
      <w:r w:rsidRPr="00C94A70">
        <w:rPr>
          <w:rFonts w:asciiTheme="minorHAnsi" w:hAnsiTheme="minorHAnsi" w:cstheme="minorHAnsi"/>
          <w:sz w:val="20"/>
          <w:szCs w:val="20"/>
          <w:lang w:val="en-ID"/>
        </w:rPr>
        <w:t xml:space="preserve"> as the most frequent isolates. Gram-positive organisms accounted for 35.09%, led by </w:t>
      </w:r>
      <w:r w:rsidRPr="00C94A70">
        <w:rPr>
          <w:rFonts w:asciiTheme="minorHAnsi" w:hAnsiTheme="minorHAnsi" w:cstheme="minorHAnsi"/>
          <w:i/>
          <w:iCs/>
          <w:sz w:val="20"/>
          <w:szCs w:val="20"/>
          <w:lang w:val="en-ID"/>
        </w:rPr>
        <w:t>Staphylococcus aureus</w:t>
      </w:r>
      <w:r w:rsidRPr="00C94A70">
        <w:rPr>
          <w:rFonts w:asciiTheme="minorHAnsi" w:hAnsiTheme="minorHAnsi" w:cstheme="minorHAnsi"/>
          <w:sz w:val="20"/>
          <w:szCs w:val="20"/>
          <w:lang w:val="en-ID"/>
        </w:rPr>
        <w:t xml:space="preserve"> and </w:t>
      </w:r>
      <w:r w:rsidRPr="00C94A70">
        <w:rPr>
          <w:rFonts w:asciiTheme="minorHAnsi" w:hAnsiTheme="minorHAnsi" w:cstheme="minorHAnsi"/>
          <w:i/>
          <w:iCs/>
          <w:sz w:val="20"/>
          <w:szCs w:val="20"/>
          <w:lang w:val="en-ID"/>
        </w:rPr>
        <w:t>Streptococcus suis</w:t>
      </w:r>
      <w:r w:rsidRPr="00C94A70">
        <w:rPr>
          <w:rFonts w:asciiTheme="minorHAnsi" w:hAnsiTheme="minorHAnsi" w:cstheme="minorHAnsi"/>
          <w:sz w:val="20"/>
          <w:szCs w:val="20"/>
          <w:lang w:val="en-ID"/>
        </w:rPr>
        <w:t xml:space="preserve">. This distribution aligns with contemporary epidemiological patterns in critical care settings, where Gram-negative bacteria consistently account for the aetiology of severe infections, particularly in low and middle-income countries (LMICs). Recent ICU surveillance studies confirm that Gram-negative organisms, especially </w:t>
      </w:r>
      <w:r w:rsidRPr="00C94A70">
        <w:rPr>
          <w:rFonts w:asciiTheme="minorHAnsi" w:hAnsiTheme="minorHAnsi" w:cstheme="minorHAnsi"/>
          <w:i/>
          <w:iCs/>
          <w:sz w:val="20"/>
          <w:szCs w:val="20"/>
          <w:lang w:val="en-ID"/>
        </w:rPr>
        <w:t>K. pneumoniae, A. baumannii, E. coli</w:t>
      </w:r>
      <w:r w:rsidRPr="00C94A70">
        <w:rPr>
          <w:rFonts w:asciiTheme="minorHAnsi" w:hAnsiTheme="minorHAnsi" w:cstheme="minorHAnsi"/>
          <w:sz w:val="20"/>
          <w:szCs w:val="20"/>
          <w:lang w:val="en-ID"/>
        </w:rPr>
        <w:t xml:space="preserve">, and </w:t>
      </w:r>
      <w:r w:rsidRPr="00C94A70">
        <w:rPr>
          <w:rFonts w:asciiTheme="minorHAnsi" w:hAnsiTheme="minorHAnsi" w:cstheme="minorHAnsi"/>
          <w:i/>
          <w:iCs/>
          <w:sz w:val="20"/>
          <w:szCs w:val="20"/>
          <w:lang w:val="en-ID"/>
        </w:rPr>
        <w:t>P. aeruginosa,</w:t>
      </w:r>
      <w:r w:rsidRPr="00C94A70">
        <w:rPr>
          <w:rFonts w:asciiTheme="minorHAnsi" w:hAnsiTheme="minorHAnsi" w:cstheme="minorHAnsi"/>
          <w:sz w:val="20"/>
          <w:szCs w:val="20"/>
          <w:lang w:val="en-ID"/>
        </w:rPr>
        <w:t xml:space="preserve"> remain the leading causes of ICU infections and are frequently multidrug-resistant. (MDR)</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SN":"1664-302X","author":[{"dropping-particle":"","family":"Chen","given":"Xiaoying","non-dropping-particle":"","parse-names":false,"suffix":""},{"dropping-particle":"","family":"Liu","given":"Xin","non-dropping-particle":"","parse-names":false,"suffix":""},{"dropping-particle":"","family":"Ren","given":"Wenyan","non-dropping-particle":"","parse-names":false,"suffix":""},{"dropping-particle":"","family":"Li","given":"Hongyan","non-dropping-particle":"","parse-names":false,"suffix":""},{"dropping-particle":"","family":"Yang","given":"Siyun","non-dropping-particle":"","parse-names":false,"suffix":""}],"container-title":"Frontiers in Microbiology","id":"ITEM-1","issued":{"date-parts":[["2025"]]},"page":"1587132","publisher":"Frontiers Media SA","title":"Distribution patterns and evolution of antimicrobial resistance in Gram-negative bacteria within the intensive care unit of a tertiary hospital from 2019 to 2024","type":"article-journal","volume":"16"},"uris":["http://www.mendeley.com/documents/?uuid=af8a4daa-36e4-4f0b-97bc-bb4abc7e889b","http://www.mendeley.com/documents/?uuid=9197f89b-c4bc-485b-9382-d16f0de8456a"]}],"mendeley":{"formattedCitation":"&lt;sup&gt;29&lt;/sup&gt;","plainTextFormattedCitation":"29","previouslyFormattedCitation":"&lt;sup&gt;29&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29</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The high proportion of Gram-negative isolates in this study is clinically significant, as these organisms often exhibit complex resistance mechanisms, including extended-spectrum β-lactamase (ESBL) production, carbapenem resistance, and efflux-pump-mediated fluoroquinolone resistance. A recent ICU analysis from China (2019–2024) reported substantial resistance among K. pneumoniae and A. baumannii to third-generation cephalosporins and carbapenems, underscoring the global challenge of treating Gram-negative sepsis in critical care settings.</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SN":"1664-302X","author":[{"dropping-particle":"","family":"Chen","given":"Xiaoying","non-dropping-particle":"","parse-names":false,"suffix":""},{"dropping-particle":"","family":"Liu","given":"Xin","non-dropping-particle":"","parse-names":false,"suffix":""},{"dropping-particle":"","family":"Ren","given":"Wenyan","non-dropping-particle":"","parse-names":false,"suffix":""},{"dropping-particle":"","family":"Li","given":"Hongyan","non-dropping-particle":"","parse-names":false,"suffix":""},{"dropping-particle":"","family":"Yang","given":"Siyun","non-dropping-particle":"","parse-names":false,"suffix":""}],"container-title":"Frontiers in Microbiology","id":"ITEM-1","issued":{"date-parts":[["2025"]]},"page":"1587132","publisher":"Frontiers Media SA","title":"Distribution patterns and evolution of antimicrobial resistance in Gram-negative bacteria within the intensive care unit of a tertiary hospital from 2019 to 2024","type":"article-journal","volume":"16"},"uris":["http://www.mendeley.com/documents/?uuid=9197f89b-c4bc-485b-9382-d16f0de8456a","http://www.mendeley.com/documents/?uuid=af8a4daa-36e4-4f0b-97bc-bb4abc7e889b"]}],"mendeley":{"formattedCitation":"&lt;sup&gt;29&lt;/sup&gt;","plainTextFormattedCitation":"29","previouslyFormattedCitation":"&lt;sup&gt;29&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29</w:t>
      </w:r>
      <w:r w:rsidRPr="00C94A70">
        <w:rPr>
          <w:rFonts w:asciiTheme="minorHAnsi" w:hAnsiTheme="minorHAnsi" w:cstheme="minorHAnsi"/>
          <w:sz w:val="20"/>
          <w:szCs w:val="20"/>
          <w:lang w:val="en-ID"/>
        </w:rPr>
        <w:fldChar w:fldCharType="end"/>
      </w:r>
    </w:p>
    <w:p w14:paraId="2B2C5AA5" w14:textId="5EE208A2" w:rsidR="00815C57" w:rsidRPr="00C94A70" w:rsidRDefault="00815C57" w:rsidP="00004ADB">
      <w:pPr>
        <w:spacing w:after="120"/>
        <w:ind w:firstLine="720"/>
        <w:jc w:val="both"/>
        <w:rPr>
          <w:rFonts w:asciiTheme="minorHAnsi" w:hAnsiTheme="minorHAnsi" w:cstheme="minorHAnsi"/>
          <w:bCs/>
          <w:sz w:val="20"/>
          <w:szCs w:val="20"/>
        </w:rPr>
      </w:pPr>
      <w:r w:rsidRPr="00C94A70">
        <w:rPr>
          <w:rFonts w:asciiTheme="minorHAnsi" w:hAnsiTheme="minorHAnsi" w:cstheme="minorHAnsi"/>
          <w:sz w:val="20"/>
          <w:szCs w:val="20"/>
          <w:lang w:val="en-ID"/>
        </w:rPr>
        <w:t xml:space="preserve">According to </w:t>
      </w:r>
      <w:r w:rsidRPr="00004ADB">
        <w:rPr>
          <w:rFonts w:asciiTheme="minorHAnsi" w:hAnsiTheme="minorHAnsi" w:cstheme="minorHAnsi"/>
          <w:b/>
          <w:bCs/>
          <w:sz w:val="20"/>
          <w:szCs w:val="20"/>
          <w:lang w:val="en-ID"/>
        </w:rPr>
        <w:t>Table 3</w:t>
      </w:r>
      <w:r w:rsidRPr="00C94A70">
        <w:rPr>
          <w:rFonts w:asciiTheme="minorHAnsi" w:hAnsiTheme="minorHAnsi" w:cstheme="minorHAnsi"/>
          <w:sz w:val="20"/>
          <w:szCs w:val="20"/>
          <w:lang w:val="en-ID"/>
        </w:rPr>
        <w:t>, the Gram-positive isolates, particularly Staphylococcus aureus (17.54%) and Staphylococcus epidermidis, align with global ICU trends. Although Gram-positive infections are less prevalent than Gram-negative infections, they remain clinically important because of their association with catheter-related bloodstream infections and the potential presence of methicillin-resistant strains. Recent reviews highlight that Gram-positive pathogens continue to contribute significantly to ICU morbidity, especially in patients with invasive devices or prolonged hospitalisation</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SN":"2079-6382","author":[{"dropping-particle":"","family":"Calvo","given":"Maddalena","non-dropping-particle":"","parse-names":false,"suffix":""},{"dropping-particle":"","family":"Stefani","given":"Stefania","non-dropping-particle":"","parse-names":false,"suffix":""},{"dropping-particle":"","family":"Migliorisi","given":"Giuseppe","non-dropping-particle":"","parse-names":false,"suffix":""}],"container-title":"Antibiotics","id":"ITEM-1","issue":"3","issued":{"date-parts":[["2024"]]},"page":"238","publisher":"MDPI","title":"Bacterial infections in Intensive Care units: epidemiological and microbiological aspects","type":"article-journal","volume":"13"},"uris":["http://www.mendeley.com/documents/?uuid=a4053458-6797-4163-b28b-41ce0c5088d6","http://www.mendeley.com/documents/?uuid=26a0afda-a901-426a-b2c6-4cc114825f4c"]}],"mendeley":{"formattedCitation":"&lt;sup&gt;30&lt;/sup&gt;","plainTextFormattedCitation":"30","previouslyFormattedCitation":"&lt;sup&gt;30&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30</w:t>
      </w:r>
      <w:r w:rsidRPr="00C94A70">
        <w:rPr>
          <w:rFonts w:asciiTheme="minorHAnsi" w:hAnsiTheme="minorHAnsi" w:cstheme="minorHAnsi"/>
          <w:sz w:val="20"/>
          <w:szCs w:val="20"/>
          <w:lang w:val="en-ID"/>
        </w:rPr>
        <w:fldChar w:fldCharType="end"/>
      </w:r>
      <w:r w:rsidRPr="00C94A70">
        <w:rPr>
          <w:lang w:val="en-ID"/>
        </w:rPr>
        <w:t xml:space="preserve"> </w:t>
      </w:r>
    </w:p>
    <w:p w14:paraId="5F9E3C56" w14:textId="7E90FAE8" w:rsidR="00815C57" w:rsidRPr="00C94A70" w:rsidRDefault="00815C57" w:rsidP="00004ADB">
      <w:pPr>
        <w:spacing w:after="0"/>
        <w:jc w:val="both"/>
        <w:rPr>
          <w:rFonts w:asciiTheme="minorHAnsi" w:hAnsiTheme="minorHAnsi" w:cstheme="minorHAnsi"/>
          <w:sz w:val="20"/>
          <w:szCs w:val="20"/>
        </w:rPr>
      </w:pPr>
      <w:r w:rsidRPr="00C94A70">
        <w:rPr>
          <w:rFonts w:asciiTheme="minorHAnsi" w:hAnsiTheme="minorHAnsi" w:cstheme="minorHAnsi"/>
          <w:b/>
          <w:bCs/>
          <w:sz w:val="20"/>
          <w:szCs w:val="20"/>
        </w:rPr>
        <w:t xml:space="preserve">Table 4. </w:t>
      </w:r>
      <w:r w:rsidRPr="00C94A70">
        <w:rPr>
          <w:rFonts w:asciiTheme="minorHAnsi" w:hAnsiTheme="minorHAnsi" w:cstheme="minorHAnsi"/>
          <w:sz w:val="20"/>
          <w:szCs w:val="20"/>
        </w:rPr>
        <w:t>The Correlation Between The Resistance Of Sepsis-Inducing Bacteria To First-Line Antibiotics And The Outcome Of Sepsis Treatment</w:t>
      </w:r>
    </w:p>
    <w:tbl>
      <w:tblPr>
        <w:tblStyle w:val="ListTable6Colorful"/>
        <w:tblW w:w="5000" w:type="pct"/>
        <w:tblLook w:val="04A0" w:firstRow="1" w:lastRow="0" w:firstColumn="1" w:lastColumn="0" w:noHBand="0" w:noVBand="1"/>
      </w:tblPr>
      <w:tblGrid>
        <w:gridCol w:w="2471"/>
        <w:gridCol w:w="1424"/>
        <w:gridCol w:w="1401"/>
        <w:gridCol w:w="1527"/>
        <w:gridCol w:w="1635"/>
        <w:gridCol w:w="1180"/>
      </w:tblGrid>
      <w:tr w:rsidR="00815C57" w:rsidRPr="00C94A70" w14:paraId="0A5BE2A7" w14:textId="77777777" w:rsidTr="007F55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val="restart"/>
            <w:tcBorders>
              <w:top w:val="single" w:sz="4" w:space="0" w:color="000000" w:themeColor="text1"/>
            </w:tcBorders>
            <w:shd w:val="clear" w:color="auto" w:fill="DEEAF6" w:themeFill="accent5" w:themeFillTint="33"/>
            <w:vAlign w:val="center"/>
          </w:tcPr>
          <w:p w14:paraId="547DAB9F" w14:textId="5CA36B2B" w:rsidR="00815C57" w:rsidRPr="00C94A70" w:rsidRDefault="00815C57" w:rsidP="00AF33E9">
            <w:pPr>
              <w:pStyle w:val="BodyText3"/>
              <w:spacing w:after="0" w:line="240" w:lineRule="auto"/>
              <w:jc w:val="center"/>
              <w:rPr>
                <w:rFonts w:asciiTheme="minorHAnsi" w:hAnsiTheme="minorHAnsi" w:cstheme="minorHAnsi"/>
                <w:sz w:val="18"/>
                <w:szCs w:val="18"/>
              </w:rPr>
            </w:pPr>
            <w:r w:rsidRPr="00C94A70">
              <w:rPr>
                <w:rFonts w:asciiTheme="minorHAnsi" w:hAnsiTheme="minorHAnsi" w:cstheme="minorHAnsi"/>
                <w:sz w:val="18"/>
                <w:szCs w:val="18"/>
              </w:rPr>
              <w:t>Resistance to</w:t>
            </w:r>
          </w:p>
        </w:tc>
        <w:tc>
          <w:tcPr>
            <w:tcW w:w="739" w:type="pct"/>
            <w:vMerge w:val="restart"/>
            <w:tcBorders>
              <w:top w:val="single" w:sz="4" w:space="0" w:color="000000" w:themeColor="text1"/>
            </w:tcBorders>
            <w:shd w:val="clear" w:color="auto" w:fill="DEEAF6" w:themeFill="accent5" w:themeFillTint="33"/>
            <w:vAlign w:val="center"/>
          </w:tcPr>
          <w:p w14:paraId="742DE0AE" w14:textId="77777777" w:rsidR="00815C57" w:rsidRPr="00C94A70" w:rsidRDefault="00815C57" w:rsidP="00AF33E9">
            <w:pPr>
              <w:pStyle w:val="BodyText3"/>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1519" w:type="pct"/>
            <w:gridSpan w:val="2"/>
            <w:tcBorders>
              <w:top w:val="single" w:sz="4" w:space="0" w:color="000000" w:themeColor="text1"/>
            </w:tcBorders>
            <w:shd w:val="clear" w:color="auto" w:fill="DEEAF6" w:themeFill="accent5" w:themeFillTint="33"/>
            <w:vAlign w:val="center"/>
          </w:tcPr>
          <w:p w14:paraId="1F115EF6" w14:textId="77777777" w:rsidR="00815C57" w:rsidRPr="00C94A70" w:rsidRDefault="00815C57" w:rsidP="00AF33E9">
            <w:pPr>
              <w:pStyle w:val="BodyText3"/>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C94A70">
              <w:rPr>
                <w:rFonts w:asciiTheme="minorHAnsi" w:hAnsiTheme="minorHAnsi" w:cstheme="minorHAnsi"/>
                <w:sz w:val="18"/>
                <w:szCs w:val="18"/>
              </w:rPr>
              <w:t>Treatment Outcome</w:t>
            </w:r>
          </w:p>
        </w:tc>
        <w:tc>
          <w:tcPr>
            <w:tcW w:w="848" w:type="pct"/>
            <w:vMerge w:val="restart"/>
            <w:tcBorders>
              <w:top w:val="single" w:sz="4" w:space="0" w:color="000000" w:themeColor="text1"/>
            </w:tcBorders>
            <w:shd w:val="clear" w:color="auto" w:fill="DEEAF6" w:themeFill="accent5" w:themeFillTint="33"/>
            <w:vAlign w:val="center"/>
          </w:tcPr>
          <w:p w14:paraId="7874BEA2" w14:textId="77777777" w:rsidR="00815C57" w:rsidRPr="00C94A70" w:rsidRDefault="00815C57" w:rsidP="007F55B0">
            <w:pPr>
              <w:pStyle w:val="BodyText3"/>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C94A70">
              <w:rPr>
                <w:rFonts w:asciiTheme="minorHAnsi" w:hAnsiTheme="minorHAnsi" w:cstheme="minorHAnsi"/>
                <w:sz w:val="18"/>
                <w:szCs w:val="18"/>
              </w:rPr>
              <w:t>Correlation</w:t>
            </w:r>
          </w:p>
          <w:p w14:paraId="31C240B1" w14:textId="77777777" w:rsidR="00815C57" w:rsidRPr="00C94A70" w:rsidRDefault="00815C57" w:rsidP="007F55B0">
            <w:pPr>
              <w:pStyle w:val="BodyText3"/>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C94A70">
              <w:rPr>
                <w:rFonts w:asciiTheme="minorHAnsi" w:hAnsiTheme="minorHAnsi" w:cstheme="minorHAnsi"/>
                <w:sz w:val="18"/>
                <w:szCs w:val="18"/>
              </w:rPr>
              <w:t>Coefficient (r)</w:t>
            </w:r>
          </w:p>
        </w:tc>
        <w:tc>
          <w:tcPr>
            <w:tcW w:w="612" w:type="pct"/>
            <w:vMerge w:val="restart"/>
            <w:tcBorders>
              <w:top w:val="single" w:sz="4" w:space="0" w:color="000000" w:themeColor="text1"/>
            </w:tcBorders>
            <w:shd w:val="clear" w:color="auto" w:fill="DEEAF6" w:themeFill="accent5" w:themeFillTint="33"/>
            <w:vAlign w:val="center"/>
          </w:tcPr>
          <w:p w14:paraId="04389940" w14:textId="77777777" w:rsidR="00815C57" w:rsidRPr="00C94A70" w:rsidRDefault="00815C57" w:rsidP="007F55B0">
            <w:pPr>
              <w:pStyle w:val="BodyText3"/>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C94A70">
              <w:rPr>
                <w:rFonts w:asciiTheme="minorHAnsi" w:hAnsiTheme="minorHAnsi" w:cstheme="minorHAnsi"/>
                <w:sz w:val="18"/>
                <w:szCs w:val="18"/>
              </w:rPr>
              <w:t>p</w:t>
            </w:r>
          </w:p>
        </w:tc>
      </w:tr>
      <w:tr w:rsidR="00815C57" w:rsidRPr="00C94A70" w14:paraId="06B1DDCF"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tcBorders>
              <w:bottom w:val="single" w:sz="4" w:space="0" w:color="auto"/>
            </w:tcBorders>
            <w:shd w:val="clear" w:color="auto" w:fill="DEEAF6" w:themeFill="accent5" w:themeFillTint="33"/>
            <w:vAlign w:val="center"/>
          </w:tcPr>
          <w:p w14:paraId="0212CF34" w14:textId="77777777" w:rsidR="00815C57" w:rsidRPr="00C94A70" w:rsidRDefault="00815C57" w:rsidP="00AF33E9">
            <w:pPr>
              <w:pStyle w:val="BodyText3"/>
              <w:spacing w:after="0" w:line="240" w:lineRule="auto"/>
              <w:jc w:val="center"/>
              <w:rPr>
                <w:rFonts w:asciiTheme="minorHAnsi" w:hAnsiTheme="minorHAnsi" w:cstheme="minorHAnsi"/>
                <w:sz w:val="18"/>
                <w:szCs w:val="18"/>
              </w:rPr>
            </w:pPr>
          </w:p>
        </w:tc>
        <w:tc>
          <w:tcPr>
            <w:tcW w:w="739" w:type="pct"/>
            <w:vMerge/>
            <w:tcBorders>
              <w:bottom w:val="single" w:sz="4" w:space="0" w:color="auto"/>
            </w:tcBorders>
            <w:shd w:val="clear" w:color="auto" w:fill="DEEAF6" w:themeFill="accent5" w:themeFillTint="33"/>
            <w:vAlign w:val="center"/>
          </w:tcPr>
          <w:p w14:paraId="26A3A9A7"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727" w:type="pct"/>
            <w:tcBorders>
              <w:bottom w:val="single" w:sz="4" w:space="0" w:color="auto"/>
            </w:tcBorders>
            <w:shd w:val="clear" w:color="auto" w:fill="DEEAF6" w:themeFill="accent5" w:themeFillTint="33"/>
            <w:vAlign w:val="center"/>
          </w:tcPr>
          <w:p w14:paraId="6FB02224"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C94A70">
              <w:rPr>
                <w:rFonts w:asciiTheme="minorHAnsi" w:hAnsiTheme="minorHAnsi" w:cstheme="minorHAnsi"/>
                <w:b/>
                <w:sz w:val="18"/>
                <w:szCs w:val="18"/>
              </w:rPr>
              <w:t>Recover</w:t>
            </w:r>
          </w:p>
        </w:tc>
        <w:tc>
          <w:tcPr>
            <w:tcW w:w="792" w:type="pct"/>
            <w:tcBorders>
              <w:bottom w:val="single" w:sz="4" w:space="0" w:color="auto"/>
            </w:tcBorders>
            <w:shd w:val="clear" w:color="auto" w:fill="DEEAF6" w:themeFill="accent5" w:themeFillTint="33"/>
            <w:vAlign w:val="center"/>
          </w:tcPr>
          <w:p w14:paraId="531AB1F1"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C94A70">
              <w:rPr>
                <w:rFonts w:asciiTheme="minorHAnsi" w:hAnsiTheme="minorHAnsi" w:cstheme="minorHAnsi"/>
                <w:b/>
                <w:sz w:val="18"/>
                <w:szCs w:val="18"/>
              </w:rPr>
              <w:t>Death</w:t>
            </w:r>
          </w:p>
        </w:tc>
        <w:tc>
          <w:tcPr>
            <w:tcW w:w="848" w:type="pct"/>
            <w:vMerge/>
            <w:tcBorders>
              <w:bottom w:val="single" w:sz="4" w:space="0" w:color="auto"/>
            </w:tcBorders>
            <w:shd w:val="clear" w:color="auto" w:fill="DEEAF6" w:themeFill="accent5" w:themeFillTint="33"/>
            <w:vAlign w:val="center"/>
          </w:tcPr>
          <w:p w14:paraId="422955EC"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612" w:type="pct"/>
            <w:vMerge/>
            <w:tcBorders>
              <w:bottom w:val="single" w:sz="4" w:space="0" w:color="auto"/>
            </w:tcBorders>
            <w:shd w:val="clear" w:color="auto" w:fill="DEEAF6" w:themeFill="accent5" w:themeFillTint="33"/>
            <w:vAlign w:val="center"/>
          </w:tcPr>
          <w:p w14:paraId="46D223BD"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815C57" w:rsidRPr="00C94A70" w14:paraId="3B489237"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val="restart"/>
            <w:tcBorders>
              <w:top w:val="single" w:sz="4" w:space="0" w:color="auto"/>
            </w:tcBorders>
          </w:tcPr>
          <w:p w14:paraId="709700FF" w14:textId="77777777" w:rsidR="00815C57" w:rsidRPr="00C94A70" w:rsidRDefault="00815C57" w:rsidP="007F55B0">
            <w:pPr>
              <w:pStyle w:val="BodyText3"/>
              <w:spacing w:after="0" w:line="240" w:lineRule="auto"/>
              <w:rPr>
                <w:rFonts w:asciiTheme="minorHAnsi" w:hAnsiTheme="minorHAnsi" w:cstheme="minorHAnsi"/>
                <w:sz w:val="18"/>
                <w:szCs w:val="18"/>
              </w:rPr>
            </w:pPr>
            <w:r w:rsidRPr="00C94A70">
              <w:rPr>
                <w:rFonts w:asciiTheme="minorHAnsi" w:hAnsiTheme="minorHAnsi" w:cstheme="minorHAnsi"/>
                <w:sz w:val="18"/>
                <w:szCs w:val="18"/>
              </w:rPr>
              <w:t>Fluoroquinolones</w:t>
            </w:r>
          </w:p>
        </w:tc>
        <w:tc>
          <w:tcPr>
            <w:tcW w:w="739" w:type="pct"/>
            <w:tcBorders>
              <w:top w:val="single" w:sz="4" w:space="0" w:color="auto"/>
            </w:tcBorders>
          </w:tcPr>
          <w:p w14:paraId="6C0E3CAE"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Sensitive</w:t>
            </w:r>
          </w:p>
        </w:tc>
        <w:tc>
          <w:tcPr>
            <w:tcW w:w="727" w:type="pct"/>
            <w:tcBorders>
              <w:top w:val="single" w:sz="4" w:space="0" w:color="auto"/>
            </w:tcBorders>
          </w:tcPr>
          <w:p w14:paraId="793ADDC3"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18</w:t>
            </w:r>
          </w:p>
        </w:tc>
        <w:tc>
          <w:tcPr>
            <w:tcW w:w="792" w:type="pct"/>
            <w:tcBorders>
              <w:top w:val="single" w:sz="4" w:space="0" w:color="auto"/>
            </w:tcBorders>
          </w:tcPr>
          <w:p w14:paraId="625A7A19"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17</w:t>
            </w:r>
          </w:p>
        </w:tc>
        <w:tc>
          <w:tcPr>
            <w:tcW w:w="848" w:type="pct"/>
            <w:vMerge w:val="restart"/>
            <w:tcBorders>
              <w:top w:val="single" w:sz="4" w:space="0" w:color="auto"/>
            </w:tcBorders>
          </w:tcPr>
          <w:p w14:paraId="440AFF74" w14:textId="312D802A"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387</w:t>
            </w:r>
          </w:p>
        </w:tc>
        <w:tc>
          <w:tcPr>
            <w:tcW w:w="612" w:type="pct"/>
            <w:vMerge w:val="restart"/>
            <w:tcBorders>
              <w:top w:val="single" w:sz="4" w:space="0" w:color="auto"/>
            </w:tcBorders>
          </w:tcPr>
          <w:p w14:paraId="74F6CDF8" w14:textId="2B65EED0"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108</w:t>
            </w:r>
          </w:p>
        </w:tc>
      </w:tr>
      <w:tr w:rsidR="00815C57" w:rsidRPr="00C94A70" w14:paraId="1468C47B"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shd w:val="clear" w:color="auto" w:fill="auto"/>
          </w:tcPr>
          <w:p w14:paraId="6A1E09D7"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shd w:val="clear" w:color="auto" w:fill="auto"/>
          </w:tcPr>
          <w:p w14:paraId="1D6C7059" w14:textId="77777777" w:rsidR="00815C57" w:rsidRPr="00C94A70" w:rsidRDefault="00815C57" w:rsidP="00AF33E9">
            <w:pPr>
              <w:pStyle w:val="BodyText3"/>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Unknown</w:t>
            </w:r>
          </w:p>
        </w:tc>
        <w:tc>
          <w:tcPr>
            <w:tcW w:w="727" w:type="pct"/>
            <w:shd w:val="clear" w:color="auto" w:fill="auto"/>
          </w:tcPr>
          <w:p w14:paraId="641EC7BE"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w:t>
            </w:r>
          </w:p>
        </w:tc>
        <w:tc>
          <w:tcPr>
            <w:tcW w:w="792" w:type="pct"/>
            <w:shd w:val="clear" w:color="auto" w:fill="auto"/>
          </w:tcPr>
          <w:p w14:paraId="0BE1B3D2"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w:t>
            </w:r>
          </w:p>
        </w:tc>
        <w:tc>
          <w:tcPr>
            <w:tcW w:w="848" w:type="pct"/>
            <w:vMerge/>
            <w:shd w:val="clear" w:color="auto" w:fill="auto"/>
          </w:tcPr>
          <w:p w14:paraId="6CBC3310"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612" w:type="pct"/>
            <w:vMerge/>
            <w:shd w:val="clear" w:color="auto" w:fill="auto"/>
          </w:tcPr>
          <w:p w14:paraId="0AFFDA5C"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815C57" w:rsidRPr="00C94A70" w14:paraId="0F220A21"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tcPr>
          <w:p w14:paraId="124659FC"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tcPr>
          <w:p w14:paraId="2FF6CDF9"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Resistant</w:t>
            </w:r>
          </w:p>
        </w:tc>
        <w:tc>
          <w:tcPr>
            <w:tcW w:w="727" w:type="pct"/>
          </w:tcPr>
          <w:p w14:paraId="2A48907E"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8</w:t>
            </w:r>
          </w:p>
        </w:tc>
        <w:tc>
          <w:tcPr>
            <w:tcW w:w="792" w:type="pct"/>
          </w:tcPr>
          <w:p w14:paraId="3CDBECBE"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17</w:t>
            </w:r>
          </w:p>
        </w:tc>
        <w:tc>
          <w:tcPr>
            <w:tcW w:w="848" w:type="pct"/>
            <w:vMerge/>
          </w:tcPr>
          <w:p w14:paraId="5C160CFD"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612" w:type="pct"/>
            <w:vMerge/>
          </w:tcPr>
          <w:p w14:paraId="54FD2930"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815C57" w:rsidRPr="00C94A70" w14:paraId="3B7ED6B4"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val="restart"/>
            <w:shd w:val="clear" w:color="auto" w:fill="auto"/>
          </w:tcPr>
          <w:p w14:paraId="27EB58D9" w14:textId="77777777" w:rsidR="00815C57" w:rsidRPr="00C94A70" w:rsidRDefault="00815C57" w:rsidP="007F55B0">
            <w:pPr>
              <w:pStyle w:val="BodyText3"/>
              <w:spacing w:after="0" w:line="240" w:lineRule="auto"/>
              <w:rPr>
                <w:rFonts w:asciiTheme="minorHAnsi" w:hAnsiTheme="minorHAnsi" w:cstheme="minorHAnsi"/>
                <w:sz w:val="18"/>
                <w:szCs w:val="18"/>
              </w:rPr>
            </w:pPr>
            <w:r w:rsidRPr="00C94A70">
              <w:rPr>
                <w:rFonts w:asciiTheme="minorHAnsi" w:hAnsiTheme="minorHAnsi" w:cstheme="minorHAnsi"/>
                <w:sz w:val="18"/>
                <w:szCs w:val="18"/>
              </w:rPr>
              <w:t xml:space="preserve">Third Generation of Cephalosporin </w:t>
            </w:r>
          </w:p>
        </w:tc>
        <w:tc>
          <w:tcPr>
            <w:tcW w:w="739" w:type="pct"/>
            <w:shd w:val="clear" w:color="auto" w:fill="auto"/>
          </w:tcPr>
          <w:p w14:paraId="0ABC53E7" w14:textId="77777777" w:rsidR="00815C57" w:rsidRPr="00C94A70" w:rsidRDefault="00815C57" w:rsidP="00AF33E9">
            <w:pPr>
              <w:pStyle w:val="BodyText3"/>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Sensitive</w:t>
            </w:r>
          </w:p>
        </w:tc>
        <w:tc>
          <w:tcPr>
            <w:tcW w:w="727" w:type="pct"/>
            <w:shd w:val="clear" w:color="auto" w:fill="auto"/>
          </w:tcPr>
          <w:p w14:paraId="75EB7AF0"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20</w:t>
            </w:r>
          </w:p>
        </w:tc>
        <w:tc>
          <w:tcPr>
            <w:tcW w:w="792" w:type="pct"/>
            <w:shd w:val="clear" w:color="auto" w:fill="auto"/>
          </w:tcPr>
          <w:p w14:paraId="65D847F7"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12</w:t>
            </w:r>
          </w:p>
        </w:tc>
        <w:tc>
          <w:tcPr>
            <w:tcW w:w="848" w:type="pct"/>
            <w:vMerge w:val="restart"/>
            <w:shd w:val="clear" w:color="auto" w:fill="auto"/>
          </w:tcPr>
          <w:p w14:paraId="354DB575" w14:textId="794169D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637</w:t>
            </w:r>
          </w:p>
        </w:tc>
        <w:tc>
          <w:tcPr>
            <w:tcW w:w="612" w:type="pct"/>
            <w:vMerge w:val="restart"/>
            <w:shd w:val="clear" w:color="auto" w:fill="auto"/>
          </w:tcPr>
          <w:p w14:paraId="01372479" w14:textId="64C1BC30"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001*</w:t>
            </w:r>
          </w:p>
        </w:tc>
      </w:tr>
      <w:tr w:rsidR="00815C57" w:rsidRPr="00C94A70" w14:paraId="5BB4924A"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tcPr>
          <w:p w14:paraId="0BFF7955"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tcPr>
          <w:p w14:paraId="62DE6AD3"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Unknown</w:t>
            </w:r>
          </w:p>
        </w:tc>
        <w:tc>
          <w:tcPr>
            <w:tcW w:w="727" w:type="pct"/>
          </w:tcPr>
          <w:p w14:paraId="09B4FC4B"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6</w:t>
            </w:r>
          </w:p>
        </w:tc>
        <w:tc>
          <w:tcPr>
            <w:tcW w:w="792" w:type="pct"/>
          </w:tcPr>
          <w:p w14:paraId="7F3F8257"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17</w:t>
            </w:r>
          </w:p>
        </w:tc>
        <w:tc>
          <w:tcPr>
            <w:tcW w:w="848" w:type="pct"/>
            <w:vMerge/>
          </w:tcPr>
          <w:p w14:paraId="42782D2E"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612" w:type="pct"/>
            <w:vMerge/>
          </w:tcPr>
          <w:p w14:paraId="176A1501"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815C57" w:rsidRPr="00C94A70" w14:paraId="325106FA"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shd w:val="clear" w:color="auto" w:fill="auto"/>
          </w:tcPr>
          <w:p w14:paraId="395D134D"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shd w:val="clear" w:color="auto" w:fill="auto"/>
          </w:tcPr>
          <w:p w14:paraId="42BA3276" w14:textId="77777777" w:rsidR="00815C57" w:rsidRPr="00C94A70" w:rsidRDefault="00815C57" w:rsidP="00AF33E9">
            <w:pPr>
              <w:pStyle w:val="BodyText3"/>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Resistant</w:t>
            </w:r>
          </w:p>
        </w:tc>
        <w:tc>
          <w:tcPr>
            <w:tcW w:w="727" w:type="pct"/>
            <w:shd w:val="clear" w:color="auto" w:fill="auto"/>
          </w:tcPr>
          <w:p w14:paraId="7C2EA943"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w:t>
            </w:r>
          </w:p>
        </w:tc>
        <w:tc>
          <w:tcPr>
            <w:tcW w:w="792" w:type="pct"/>
            <w:shd w:val="clear" w:color="auto" w:fill="auto"/>
          </w:tcPr>
          <w:p w14:paraId="25206BB9"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6</w:t>
            </w:r>
          </w:p>
        </w:tc>
        <w:tc>
          <w:tcPr>
            <w:tcW w:w="848" w:type="pct"/>
            <w:vMerge/>
            <w:shd w:val="clear" w:color="auto" w:fill="auto"/>
          </w:tcPr>
          <w:p w14:paraId="67D15FC3"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612" w:type="pct"/>
            <w:vMerge/>
            <w:shd w:val="clear" w:color="auto" w:fill="auto"/>
          </w:tcPr>
          <w:p w14:paraId="6653A796"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815C57" w:rsidRPr="00C94A70" w14:paraId="291F4089"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val="restart"/>
          </w:tcPr>
          <w:p w14:paraId="6985645B" w14:textId="77777777" w:rsidR="00815C57" w:rsidRPr="00C94A70" w:rsidRDefault="00815C57" w:rsidP="007F55B0">
            <w:pPr>
              <w:pStyle w:val="BodyText3"/>
              <w:spacing w:after="0" w:line="240" w:lineRule="auto"/>
              <w:rPr>
                <w:rFonts w:asciiTheme="minorHAnsi" w:hAnsiTheme="minorHAnsi" w:cstheme="minorHAnsi"/>
                <w:sz w:val="18"/>
                <w:szCs w:val="18"/>
              </w:rPr>
            </w:pPr>
            <w:r w:rsidRPr="00C94A70">
              <w:rPr>
                <w:rFonts w:asciiTheme="minorHAnsi" w:hAnsiTheme="minorHAnsi" w:cstheme="minorHAnsi"/>
                <w:sz w:val="18"/>
                <w:szCs w:val="18"/>
              </w:rPr>
              <w:t xml:space="preserve">Fourth Generation of Cephalosporin </w:t>
            </w:r>
          </w:p>
        </w:tc>
        <w:tc>
          <w:tcPr>
            <w:tcW w:w="739" w:type="pct"/>
          </w:tcPr>
          <w:p w14:paraId="3D67F876"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Sensitive</w:t>
            </w:r>
          </w:p>
        </w:tc>
        <w:tc>
          <w:tcPr>
            <w:tcW w:w="727" w:type="pct"/>
          </w:tcPr>
          <w:p w14:paraId="58B394F1"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12</w:t>
            </w:r>
          </w:p>
        </w:tc>
        <w:tc>
          <w:tcPr>
            <w:tcW w:w="792" w:type="pct"/>
          </w:tcPr>
          <w:p w14:paraId="7C65C5BA"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21</w:t>
            </w:r>
          </w:p>
        </w:tc>
        <w:tc>
          <w:tcPr>
            <w:tcW w:w="848" w:type="pct"/>
            <w:vMerge w:val="restart"/>
          </w:tcPr>
          <w:p w14:paraId="675F6B27" w14:textId="085FDE4F"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199</w:t>
            </w:r>
          </w:p>
        </w:tc>
        <w:tc>
          <w:tcPr>
            <w:tcW w:w="612" w:type="pct"/>
            <w:vMerge w:val="restart"/>
          </w:tcPr>
          <w:p w14:paraId="529E974D" w14:textId="567952EE"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377</w:t>
            </w:r>
          </w:p>
        </w:tc>
      </w:tr>
      <w:tr w:rsidR="00815C57" w:rsidRPr="00C94A70" w14:paraId="544B0DB3"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shd w:val="clear" w:color="auto" w:fill="auto"/>
          </w:tcPr>
          <w:p w14:paraId="2EFBA043"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shd w:val="clear" w:color="auto" w:fill="auto"/>
          </w:tcPr>
          <w:p w14:paraId="063FF1AD" w14:textId="77777777" w:rsidR="00815C57" w:rsidRPr="00C94A70" w:rsidRDefault="00815C57" w:rsidP="00AF33E9">
            <w:pPr>
              <w:pStyle w:val="BodyText3"/>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Unknown</w:t>
            </w:r>
          </w:p>
        </w:tc>
        <w:tc>
          <w:tcPr>
            <w:tcW w:w="727" w:type="pct"/>
            <w:shd w:val="clear" w:color="auto" w:fill="auto"/>
          </w:tcPr>
          <w:p w14:paraId="5E272A53"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11</w:t>
            </w:r>
          </w:p>
        </w:tc>
        <w:tc>
          <w:tcPr>
            <w:tcW w:w="792" w:type="pct"/>
            <w:shd w:val="clear" w:color="auto" w:fill="auto"/>
          </w:tcPr>
          <w:p w14:paraId="1F8FA000"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9</w:t>
            </w:r>
          </w:p>
        </w:tc>
        <w:tc>
          <w:tcPr>
            <w:tcW w:w="848" w:type="pct"/>
            <w:vMerge/>
            <w:shd w:val="clear" w:color="auto" w:fill="auto"/>
          </w:tcPr>
          <w:p w14:paraId="63F9DE6A"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612" w:type="pct"/>
            <w:vMerge/>
            <w:shd w:val="clear" w:color="auto" w:fill="auto"/>
          </w:tcPr>
          <w:p w14:paraId="03D66E1D"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815C57" w:rsidRPr="00C94A70" w14:paraId="23C3A4A8"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tcPr>
          <w:p w14:paraId="5E596A96"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tcPr>
          <w:p w14:paraId="275ADF2D"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Resistant</w:t>
            </w:r>
          </w:p>
        </w:tc>
        <w:tc>
          <w:tcPr>
            <w:tcW w:w="727" w:type="pct"/>
          </w:tcPr>
          <w:p w14:paraId="64307D4A"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4</w:t>
            </w:r>
          </w:p>
        </w:tc>
        <w:tc>
          <w:tcPr>
            <w:tcW w:w="792" w:type="pct"/>
          </w:tcPr>
          <w:p w14:paraId="334365B6"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5</w:t>
            </w:r>
          </w:p>
        </w:tc>
        <w:tc>
          <w:tcPr>
            <w:tcW w:w="848" w:type="pct"/>
            <w:vMerge/>
          </w:tcPr>
          <w:p w14:paraId="3BA1CB30"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612" w:type="pct"/>
            <w:vMerge/>
          </w:tcPr>
          <w:p w14:paraId="48FCC2A2"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815C57" w:rsidRPr="00C94A70" w14:paraId="59A9A3E6"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val="restart"/>
            <w:shd w:val="clear" w:color="auto" w:fill="auto"/>
          </w:tcPr>
          <w:p w14:paraId="239098C6" w14:textId="77777777" w:rsidR="00815C57" w:rsidRPr="00C94A70" w:rsidRDefault="00815C57" w:rsidP="007F55B0">
            <w:pPr>
              <w:pStyle w:val="BodyText3"/>
              <w:spacing w:after="0" w:line="240" w:lineRule="auto"/>
              <w:rPr>
                <w:rFonts w:asciiTheme="minorHAnsi" w:hAnsiTheme="minorHAnsi" w:cstheme="minorHAnsi"/>
                <w:sz w:val="18"/>
                <w:szCs w:val="18"/>
              </w:rPr>
            </w:pPr>
            <w:r w:rsidRPr="00C94A70">
              <w:rPr>
                <w:rFonts w:asciiTheme="minorHAnsi" w:hAnsiTheme="minorHAnsi" w:cstheme="minorHAnsi"/>
                <w:sz w:val="18"/>
                <w:szCs w:val="18"/>
              </w:rPr>
              <w:t>Piperacillin-Tazobactam</w:t>
            </w:r>
          </w:p>
        </w:tc>
        <w:tc>
          <w:tcPr>
            <w:tcW w:w="739" w:type="pct"/>
            <w:shd w:val="clear" w:color="auto" w:fill="auto"/>
          </w:tcPr>
          <w:p w14:paraId="7D41B24D" w14:textId="77777777" w:rsidR="00815C57" w:rsidRPr="00C94A70" w:rsidRDefault="00815C57" w:rsidP="00AF33E9">
            <w:pPr>
              <w:pStyle w:val="BodyText3"/>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Sensitive</w:t>
            </w:r>
          </w:p>
        </w:tc>
        <w:tc>
          <w:tcPr>
            <w:tcW w:w="727" w:type="pct"/>
            <w:shd w:val="clear" w:color="auto" w:fill="auto"/>
          </w:tcPr>
          <w:p w14:paraId="5C623406"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10</w:t>
            </w:r>
          </w:p>
        </w:tc>
        <w:tc>
          <w:tcPr>
            <w:tcW w:w="792" w:type="pct"/>
            <w:shd w:val="clear" w:color="auto" w:fill="auto"/>
          </w:tcPr>
          <w:p w14:paraId="3E72B45A"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14</w:t>
            </w:r>
          </w:p>
        </w:tc>
        <w:tc>
          <w:tcPr>
            <w:tcW w:w="848" w:type="pct"/>
            <w:vMerge w:val="restart"/>
            <w:shd w:val="clear" w:color="auto" w:fill="auto"/>
          </w:tcPr>
          <w:p w14:paraId="517DC94B" w14:textId="15348E0C"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060</w:t>
            </w:r>
          </w:p>
        </w:tc>
        <w:tc>
          <w:tcPr>
            <w:tcW w:w="612" w:type="pct"/>
            <w:vMerge w:val="restart"/>
            <w:shd w:val="clear" w:color="auto" w:fill="auto"/>
          </w:tcPr>
          <w:p w14:paraId="61A031F6" w14:textId="58490189"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816</w:t>
            </w:r>
          </w:p>
        </w:tc>
      </w:tr>
      <w:tr w:rsidR="00815C57" w:rsidRPr="00C94A70" w14:paraId="7F97EF01"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tcPr>
          <w:p w14:paraId="5C01A038"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tcPr>
          <w:p w14:paraId="456C733D"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Unknown</w:t>
            </w:r>
          </w:p>
        </w:tc>
        <w:tc>
          <w:tcPr>
            <w:tcW w:w="727" w:type="pct"/>
          </w:tcPr>
          <w:p w14:paraId="6C8DBE67"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16</w:t>
            </w:r>
          </w:p>
        </w:tc>
        <w:tc>
          <w:tcPr>
            <w:tcW w:w="792" w:type="pct"/>
          </w:tcPr>
          <w:p w14:paraId="14CE6E0E"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20</w:t>
            </w:r>
          </w:p>
        </w:tc>
        <w:tc>
          <w:tcPr>
            <w:tcW w:w="848" w:type="pct"/>
            <w:vMerge/>
          </w:tcPr>
          <w:p w14:paraId="4E60D3A5"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612" w:type="pct"/>
            <w:vMerge/>
          </w:tcPr>
          <w:p w14:paraId="73A4427F"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815C57" w:rsidRPr="00C94A70" w14:paraId="2431F5F8"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shd w:val="clear" w:color="auto" w:fill="auto"/>
          </w:tcPr>
          <w:p w14:paraId="02B8F6B9" w14:textId="77777777" w:rsidR="00815C57" w:rsidRPr="00C94A70" w:rsidRDefault="00815C57" w:rsidP="007F55B0">
            <w:pPr>
              <w:pStyle w:val="BodyText3"/>
              <w:spacing w:after="0" w:line="240" w:lineRule="auto"/>
              <w:rPr>
                <w:rFonts w:asciiTheme="minorHAnsi" w:hAnsiTheme="minorHAnsi" w:cstheme="minorHAnsi"/>
                <w:sz w:val="18"/>
                <w:szCs w:val="18"/>
              </w:rPr>
            </w:pPr>
          </w:p>
        </w:tc>
        <w:tc>
          <w:tcPr>
            <w:tcW w:w="739" w:type="pct"/>
            <w:shd w:val="clear" w:color="auto" w:fill="auto"/>
          </w:tcPr>
          <w:p w14:paraId="0CDDC657" w14:textId="77777777" w:rsidR="00815C57" w:rsidRPr="00C94A70" w:rsidRDefault="00815C57" w:rsidP="00AF33E9">
            <w:pPr>
              <w:pStyle w:val="BodyText3"/>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Resistant</w:t>
            </w:r>
          </w:p>
        </w:tc>
        <w:tc>
          <w:tcPr>
            <w:tcW w:w="727" w:type="pct"/>
            <w:shd w:val="clear" w:color="auto" w:fill="auto"/>
          </w:tcPr>
          <w:p w14:paraId="330EB4C0"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w:t>
            </w:r>
          </w:p>
        </w:tc>
        <w:tc>
          <w:tcPr>
            <w:tcW w:w="792" w:type="pct"/>
            <w:shd w:val="clear" w:color="auto" w:fill="auto"/>
          </w:tcPr>
          <w:p w14:paraId="5638FC9C"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w:t>
            </w:r>
          </w:p>
        </w:tc>
        <w:tc>
          <w:tcPr>
            <w:tcW w:w="848" w:type="pct"/>
            <w:vMerge/>
            <w:shd w:val="clear" w:color="auto" w:fill="auto"/>
          </w:tcPr>
          <w:p w14:paraId="633FD994"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612" w:type="pct"/>
            <w:vMerge/>
            <w:shd w:val="clear" w:color="auto" w:fill="auto"/>
          </w:tcPr>
          <w:p w14:paraId="238AF050"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815C57" w:rsidRPr="00C94A70" w14:paraId="7773BEE1"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val="restart"/>
          </w:tcPr>
          <w:p w14:paraId="2BB5FAD2" w14:textId="77777777" w:rsidR="00815C57" w:rsidRPr="00C94A70" w:rsidRDefault="00815C57" w:rsidP="007F55B0">
            <w:pPr>
              <w:pStyle w:val="BodyText3"/>
              <w:spacing w:after="0" w:line="240" w:lineRule="auto"/>
              <w:rPr>
                <w:rFonts w:asciiTheme="minorHAnsi" w:hAnsiTheme="minorHAnsi" w:cstheme="minorHAnsi"/>
                <w:sz w:val="18"/>
                <w:szCs w:val="18"/>
              </w:rPr>
            </w:pPr>
            <w:r w:rsidRPr="00C94A70">
              <w:rPr>
                <w:rFonts w:asciiTheme="minorHAnsi" w:hAnsiTheme="minorHAnsi" w:cstheme="minorHAnsi"/>
                <w:sz w:val="18"/>
                <w:szCs w:val="18"/>
              </w:rPr>
              <w:t>Vancomycin</w:t>
            </w:r>
          </w:p>
        </w:tc>
        <w:tc>
          <w:tcPr>
            <w:tcW w:w="739" w:type="pct"/>
          </w:tcPr>
          <w:p w14:paraId="7F6407F4"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Sensitive</w:t>
            </w:r>
          </w:p>
        </w:tc>
        <w:tc>
          <w:tcPr>
            <w:tcW w:w="727" w:type="pct"/>
          </w:tcPr>
          <w:p w14:paraId="3B92084A"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13</w:t>
            </w:r>
          </w:p>
        </w:tc>
        <w:tc>
          <w:tcPr>
            <w:tcW w:w="792" w:type="pct"/>
          </w:tcPr>
          <w:p w14:paraId="6C54C10B"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16</w:t>
            </w:r>
          </w:p>
        </w:tc>
        <w:tc>
          <w:tcPr>
            <w:tcW w:w="848" w:type="pct"/>
            <w:vMerge w:val="restart"/>
          </w:tcPr>
          <w:p w14:paraId="0A7EABC0" w14:textId="7BB7E0A9"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030</w:t>
            </w:r>
          </w:p>
        </w:tc>
        <w:tc>
          <w:tcPr>
            <w:tcW w:w="612" w:type="pct"/>
            <w:vMerge w:val="restart"/>
          </w:tcPr>
          <w:p w14:paraId="388F95D4" w14:textId="60E17688"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r w:rsidR="007E452D" w:rsidRPr="00C94A70">
              <w:rPr>
                <w:rFonts w:asciiTheme="minorHAnsi" w:hAnsiTheme="minorHAnsi" w:cstheme="minorHAnsi"/>
                <w:sz w:val="18"/>
                <w:szCs w:val="18"/>
              </w:rPr>
              <w:t>.</w:t>
            </w:r>
            <w:r w:rsidRPr="00C94A70">
              <w:rPr>
                <w:rFonts w:asciiTheme="minorHAnsi" w:hAnsiTheme="minorHAnsi" w:cstheme="minorHAnsi"/>
                <w:sz w:val="18"/>
                <w:szCs w:val="18"/>
              </w:rPr>
              <w:t>911</w:t>
            </w:r>
          </w:p>
        </w:tc>
      </w:tr>
      <w:tr w:rsidR="00815C57" w:rsidRPr="00C94A70" w14:paraId="57BDFA47" w14:textId="77777777" w:rsidTr="007F55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vMerge/>
            <w:shd w:val="clear" w:color="auto" w:fill="auto"/>
          </w:tcPr>
          <w:p w14:paraId="2E6EA7EA" w14:textId="77777777" w:rsidR="00815C57" w:rsidRPr="00C94A70" w:rsidRDefault="00815C57" w:rsidP="00AF33E9">
            <w:pPr>
              <w:pStyle w:val="BodyText3"/>
              <w:spacing w:after="0" w:line="240" w:lineRule="auto"/>
              <w:jc w:val="center"/>
              <w:rPr>
                <w:rFonts w:asciiTheme="minorHAnsi" w:hAnsiTheme="minorHAnsi" w:cstheme="minorHAnsi"/>
                <w:sz w:val="18"/>
                <w:szCs w:val="18"/>
              </w:rPr>
            </w:pPr>
          </w:p>
        </w:tc>
        <w:tc>
          <w:tcPr>
            <w:tcW w:w="739" w:type="pct"/>
            <w:shd w:val="clear" w:color="auto" w:fill="auto"/>
          </w:tcPr>
          <w:p w14:paraId="662C7E51" w14:textId="77777777" w:rsidR="00815C57" w:rsidRPr="00C94A70" w:rsidRDefault="00815C57" w:rsidP="00AF33E9">
            <w:pPr>
              <w:pStyle w:val="BodyText3"/>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Unknown</w:t>
            </w:r>
          </w:p>
        </w:tc>
        <w:tc>
          <w:tcPr>
            <w:tcW w:w="727" w:type="pct"/>
            <w:shd w:val="clear" w:color="auto" w:fill="auto"/>
          </w:tcPr>
          <w:p w14:paraId="53F6E01C"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14</w:t>
            </w:r>
          </w:p>
        </w:tc>
        <w:tc>
          <w:tcPr>
            <w:tcW w:w="792" w:type="pct"/>
            <w:shd w:val="clear" w:color="auto" w:fill="auto"/>
          </w:tcPr>
          <w:p w14:paraId="41008796" w14:textId="77777777" w:rsidR="00815C57" w:rsidRPr="00C94A70" w:rsidRDefault="00815C57" w:rsidP="00AF33E9">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19</w:t>
            </w:r>
          </w:p>
        </w:tc>
        <w:tc>
          <w:tcPr>
            <w:tcW w:w="848" w:type="pct"/>
            <w:vMerge/>
            <w:shd w:val="clear" w:color="auto" w:fill="auto"/>
            <w:vAlign w:val="center"/>
          </w:tcPr>
          <w:p w14:paraId="4C5E512B"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612" w:type="pct"/>
            <w:vMerge/>
            <w:shd w:val="clear" w:color="auto" w:fill="auto"/>
            <w:vAlign w:val="center"/>
          </w:tcPr>
          <w:p w14:paraId="595CC9FE" w14:textId="77777777" w:rsidR="00815C57" w:rsidRPr="00C94A70" w:rsidRDefault="00815C57" w:rsidP="007F55B0">
            <w:pPr>
              <w:pStyle w:val="BodyText3"/>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815C57" w:rsidRPr="00C94A70" w14:paraId="0CEE6355" w14:textId="77777777" w:rsidTr="007F55B0">
        <w:tc>
          <w:tcPr>
            <w:cnfStyle w:val="001000000000" w:firstRow="0" w:lastRow="0" w:firstColumn="1" w:lastColumn="0" w:oddVBand="0" w:evenVBand="0" w:oddHBand="0" w:evenHBand="0" w:firstRowFirstColumn="0" w:firstRowLastColumn="0" w:lastRowFirstColumn="0" w:lastRowLastColumn="0"/>
            <w:tcW w:w="1282" w:type="pct"/>
            <w:vMerge/>
          </w:tcPr>
          <w:p w14:paraId="2E3749F0" w14:textId="77777777" w:rsidR="00815C57" w:rsidRPr="00C94A70" w:rsidRDefault="00815C57" w:rsidP="00AF33E9">
            <w:pPr>
              <w:pStyle w:val="BodyText3"/>
              <w:spacing w:after="0" w:line="240" w:lineRule="auto"/>
              <w:jc w:val="center"/>
              <w:rPr>
                <w:rFonts w:asciiTheme="minorHAnsi" w:hAnsiTheme="minorHAnsi" w:cstheme="minorHAnsi"/>
                <w:sz w:val="18"/>
                <w:szCs w:val="18"/>
              </w:rPr>
            </w:pPr>
          </w:p>
        </w:tc>
        <w:tc>
          <w:tcPr>
            <w:tcW w:w="739" w:type="pct"/>
          </w:tcPr>
          <w:p w14:paraId="1A1C555B" w14:textId="77777777" w:rsidR="00815C57" w:rsidRPr="00C94A70" w:rsidRDefault="00815C57" w:rsidP="00AF33E9">
            <w:pPr>
              <w:pStyle w:val="BodyText3"/>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Resistant</w:t>
            </w:r>
          </w:p>
        </w:tc>
        <w:tc>
          <w:tcPr>
            <w:tcW w:w="727" w:type="pct"/>
          </w:tcPr>
          <w:p w14:paraId="4C033D61"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p>
        </w:tc>
        <w:tc>
          <w:tcPr>
            <w:tcW w:w="792" w:type="pct"/>
          </w:tcPr>
          <w:p w14:paraId="33568A5B" w14:textId="77777777" w:rsidR="00815C57" w:rsidRPr="00C94A70" w:rsidRDefault="00815C57" w:rsidP="00AF33E9">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C94A70">
              <w:rPr>
                <w:rFonts w:asciiTheme="minorHAnsi" w:hAnsiTheme="minorHAnsi" w:cstheme="minorHAnsi"/>
                <w:sz w:val="18"/>
                <w:szCs w:val="18"/>
              </w:rPr>
              <w:t>0</w:t>
            </w:r>
          </w:p>
        </w:tc>
        <w:tc>
          <w:tcPr>
            <w:tcW w:w="848" w:type="pct"/>
            <w:vMerge/>
            <w:vAlign w:val="center"/>
          </w:tcPr>
          <w:p w14:paraId="1A068FEA"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612" w:type="pct"/>
            <w:vMerge/>
            <w:vAlign w:val="center"/>
          </w:tcPr>
          <w:p w14:paraId="08CBC918" w14:textId="77777777" w:rsidR="00815C57" w:rsidRPr="00C94A70" w:rsidRDefault="00815C57" w:rsidP="007F55B0">
            <w:pPr>
              <w:pStyle w:val="BodyText3"/>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bl>
    <w:p w14:paraId="30655D8A" w14:textId="0AC6108C" w:rsidR="00815C57" w:rsidRPr="00C94A70" w:rsidRDefault="00815C57" w:rsidP="00903364">
      <w:pPr>
        <w:rPr>
          <w:rFonts w:asciiTheme="minorHAnsi" w:hAnsiTheme="minorHAnsi" w:cstheme="minorHAnsi"/>
          <w:sz w:val="20"/>
          <w:szCs w:val="20"/>
        </w:rPr>
      </w:pPr>
      <w:r w:rsidRPr="00C94A70">
        <w:rPr>
          <w:rFonts w:asciiTheme="minorHAnsi" w:hAnsiTheme="minorHAnsi" w:cstheme="minorHAnsi"/>
          <w:sz w:val="20"/>
          <w:szCs w:val="20"/>
        </w:rPr>
        <w:t>*) statistically significant</w:t>
      </w:r>
    </w:p>
    <w:p w14:paraId="0600DD3C" w14:textId="6A1FCBE9" w:rsidR="00815C57" w:rsidRPr="00C94A70" w:rsidRDefault="00815C57" w:rsidP="00903364">
      <w:pPr>
        <w:spacing w:after="0"/>
        <w:ind w:firstLine="720"/>
        <w:jc w:val="both"/>
        <w:rPr>
          <w:rFonts w:asciiTheme="minorHAnsi" w:hAnsiTheme="minorHAnsi" w:cstheme="minorHAnsi"/>
          <w:sz w:val="20"/>
          <w:szCs w:val="20"/>
        </w:rPr>
      </w:pPr>
      <w:r w:rsidRPr="00C94A70">
        <w:rPr>
          <w:rFonts w:asciiTheme="minorHAnsi" w:hAnsiTheme="minorHAnsi" w:cstheme="minorHAnsi"/>
          <w:sz w:val="20"/>
          <w:szCs w:val="20"/>
        </w:rPr>
        <w:t xml:space="preserve">According to </w:t>
      </w:r>
      <w:r w:rsidRPr="002303D1">
        <w:rPr>
          <w:rFonts w:asciiTheme="minorHAnsi" w:hAnsiTheme="minorHAnsi" w:cstheme="minorHAnsi"/>
          <w:b/>
          <w:bCs/>
          <w:sz w:val="20"/>
          <w:szCs w:val="20"/>
        </w:rPr>
        <w:t>Table 4</w:t>
      </w:r>
      <w:r w:rsidRPr="00C94A70">
        <w:rPr>
          <w:rFonts w:asciiTheme="minorHAnsi" w:hAnsiTheme="minorHAnsi" w:cstheme="minorHAnsi"/>
          <w:sz w:val="20"/>
          <w:szCs w:val="20"/>
        </w:rPr>
        <w:t>, among the antibiotics evaluated, resistance to third-generation cephalosporins was strongly and significantly associated with mortality (r = 0.637, p = 0.001). This finding is clinically meaningful, as third-generation cephalosporins remain widely used empirically for severe infections in many hospital settings, including in Indonesia</w:t>
      </w:r>
      <w:r w:rsidR="00E95E53" w:rsidRPr="00C94A70">
        <w:rPr>
          <w:rFonts w:asciiTheme="minorHAnsi" w:hAnsiTheme="minorHAnsi" w:cstheme="minorHAnsi"/>
          <w:sz w:val="20"/>
          <w:szCs w:val="20"/>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{"citationItems":[{"id":"ITEM-1","itemData":{"DOI":"10.1155/2018/5670238","ISSN":"19181493","abstract":"Antibiotic use and microbial resistance in health care-associated infections are increasing globally and causing health care problems. Intensive Care Units (ICUs) represent the heaviest antibiotic burden within hospitals, and sepsis is the second noncardiac cause of mortality in ICUs. Optimizing appropriate antibiotic treatment in the management of the critically ill in ICUs became a major challenge for intensivists. We performed a surveillance study on the antibiotic consumption in 108 Polish ICUs. We determined which classes of antibiotics were most commonly consumed and whether they affected the length of ICU stay and the size and category of the hospital. A total of 292.389 defined daily doses (DDD) and 192.167 patient-days (pd) were identified. Antibiotic consumption ranged from 620 to 3960 DDD/1000 pd. The main antibiotic classes accounted for 59.6% of the total antibiotic consumption and included carbapenems (17.8%), quinolones (14%), cephalosporins (13.7%), penicillins (11.9%), and macrolides (2.2%), respectively, whereas the other antibiotic classes accounted for the remainder (40.4%) and included antifungals (34%), imidazoles (20%), aminoglycosides (18%), glycopeptides (15%), and polymyxins (6%). The most consumed antibiotic classes in Polish ICUs were carbapenems, quinolones, and cephalosporins, respectively. There was no correlation between antibiotic consumption in DDD/1000 patient-days, mean length of ICU stay, size of the hospital, size of the ICU, or the total amount of patient-days. It is crucial that surveillance systems are in place to guide empiric antibiotic treatment and to estimate the burden of resistance. Appropriate use of antibiotics in the ICU should be an important public health care issue.","author":[{"dropping-particle":"","family":"Trejnowska","given":"Ewa","non-dropping-particle":"","parse-names":false,"suffix":""},{"dropping-particle":"","family":"Deptuła","given":"Aleksander","non-dropping-particle":"","parse-names":false,"suffix":""},{"dropping-particle":"","family":"Tarczyńska-Słomian","given":"Magda","non-dropping-particle":"","parse-names":false,"suffix":""},{"dropping-particle":"","family":"Knapik","given":"Piotr","non-dropping-particle":"","parse-names":false,"suffix":""},{"dropping-particle":"","family":"Jankowski","given":"Miłosz","non-dropping-particle":"","parse-names":false,"suffix":""},{"dropping-particle":"","family":"Misiewska-Kaczur","given":"Agnieszka","non-dropping-particle":"","parse-names":false,"suffix":""},{"dropping-particle":"","family":"Tamowicz","given":"Barbara","non-dropping-particle":"","parse-names":false,"suffix":""},{"dropping-particle":"","family":"Śmiechowicz","given":"Jakub","non-dropping-particle":"","parse-names":false,"suffix":""},{"dropping-particle":"","family":"Antończyk","given":"Remigiusz","non-dropping-particle":"","parse-names":false,"suffix":""},{"dropping-particle":"","family":"Armatowicz","given":"Paul","non-dropping-particle":"","parse-names":false,"suffix":""},{"dropping-particle":"","family":"Sułkowski","given":"Wiktor","non-dropping-particle":"","parse-names":false,"suffix":""},{"dropping-particle":"","family":"Durek","given":"Grazyna","non-dropping-particle":"","parse-names":false,"suffix":""}],"container-title":"Canadian Journal of Infectious Diseases and Medical Microbiology","id":"ITEM-1","issued":{"date-parts":[["2018"]]},"title":"Surveillance of Antibiotic Prescribing in Intensive Care Units in Poland","type":"article-journal","volume":"2018"},"uris":["http://www.mendeley.com/documents/?uuid=9e5f1047-3606-40e5-b72c-d31ae9a02832","http://www.mendeley.com/documents/?uuid=a67721da-c2be-4e92-b488-5a77672e0a80"]},{"id":"ITEM-2","itemData":{"DOI":"10.22487/htj.v11i3.1740","ISSN":"2407-8441","abstract":"Background: Sepsis, a severe immune response to infection, has a concerning global mortality rate of 85%, predominantly due to Gram-negative bacteria. The rise of antibiotic resistance in these organisms complicates treatment, leading to higher mortality and prolonged hospital stays. Effective empirical antibiotics can mitigate these outcomes. Objective: This study compares outcomes of sepsis patients infected with multidrug-resistant organisms (MDRO) based on empirical antibiotic sensitivity testing, focusing on mortality and length of stay (LOS) within 14 days of sepsis onset. Methods: A prospective cohort observational study at Dr. M. Djamil General Hospital included 94 participants. Patients who died within 14 days were excluded from the LOS analysis to prevent bias. Initial assessments included culture sampling and organ dysfunction. Results: The study revealed no significant difference in mortality based on antibiotic sensitivity (p=0.283), but the LOS was significantly shorter in those treated with sensitive antibiotics (p&lt;0.016). Conclusion: LOS was significantly affected by antibiotic sensitivity, with patients receiving effective antibiotics experiencing shorter stays, though mortality differences were not statistically significant in the 14-day window","author":[{"dropping-particle":"","family":"Fadrian","given":"Fadrian","non-dropping-particle":"","parse-names":false,"suffix":""},{"dropping-particle":"","family":"Ahmad","given":"Armen","non-dropping-particle":"","parse-names":false,"suffix":""},{"dropping-particle":"","family":"Harvindra","given":"Astrid","non-dropping-particle":"","parse-names":false,"suffix":""},{"dropping-particle":"","family":"Putri","given":"Vidola Yasena","non-dropping-particle":"","parse-names":false,"suffix":""}],"container-title":"Healthy Tadulako Journal (Jurnal Kesehatan Tadulako)","id":"ITEM-2","issue":"3","issued":{"date-parts":[["2025"]]},"page":"462-479","title":"Different Sepsis Patient Outcomes Due to Multidrug-Resistant Organisms (MDRO): A Study of Empirical Antibiotic Sensitivity Test Results","type":"article-journal","volume":"11"},"uris":["http://www.mendeley.com/documents/?uuid=a5ff0adc-77c2-4c40-8f00-3c7e529b6a6d","http://www.mendeley.com/documents/?uuid=493f2b9e-3685-4e3f-9542-7aa068f71af6"]}],"mendeley":{"formattedCitation":"&lt;sup&gt;1,31&lt;/sup&gt;","plainTextFormattedCitation":"1,31","previouslyFormattedCitation":"&lt;sup&gt;1,31&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1,31</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This finding is also in line with regional and global data. A systematic review from sub-Saharan Africa reported a high prevalence of third-generation cephalosporin resistance among Enterobacteriaceae in bloodstream </w:t>
      </w:r>
      <w:r w:rsidRPr="00C94A70">
        <w:rPr>
          <w:rFonts w:asciiTheme="minorHAnsi" w:hAnsiTheme="minorHAnsi" w:cstheme="minorHAnsi"/>
          <w:sz w:val="20"/>
          <w:szCs w:val="20"/>
          <w:lang w:val="en-ID"/>
        </w:rPr>
        <w:lastRenderedPageBreak/>
        <w:t>infections and emphasised that such resistance is likely to increase mortality in settings where ceftriaxone is the mainstay of empiric sepsis management</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SN":"0305-7453","author":[{"dropping-particle":"","family":"Lester","given":"Rebecca","non-dropping-particle":"","parse-names":false,"suffix":""},{"dropping-particle":"","family":"Musicha","given":"Patrick","non-dropping-particle":"","parse-names":false,"suffix":""},{"dropping-particle":"","family":"Ginneken","given":"Nadja","non-dropping-particle":"Van","parse-names":false,"suffix":""},{"dropping-particle":"","family":"Dramowski","given":"Angela","non-dropping-particle":"","parse-names":false,"suffix":""},{"dropping-particle":"","family":"Hamer","given":"Davidson H","non-dropping-particle":"","parse-names":false,"suffix":""},{"dropping-particle":"","family":"Garner","given":"Paul","non-dropping-particle":"","parse-names":false,"suffix":""},{"dropping-particle":"","family":"Feasey","given":"Nicholas A","non-dropping-particle":"","parse-names":false,"suffix":""}],"container-title":"Journal of Antimicrobial Chemotherapy","id":"ITEM-1","issue":"3","issued":{"date-parts":[["2020"]]},"page":"492-507","publisher":"Oxford University Press","title":"Prevalence and outcome of bloodstream infections due to third-generation cephalosporin-resistant Enterobacteriaceae in sub-Saharan Africa: a systematic review","type":"article-journal","volume":"75"},"uris":["http://www.mendeley.com/documents/?uuid=5ea1f42a-3625-43e2-8648-efff29965c81","http://www.mendeley.com/documents/?uuid=0411853b-e474-4c15-8b2c-a87ca0a6cd97"]}],"mendeley":{"formattedCitation":"&lt;sup&gt;32&lt;/sup&gt;","plainTextFormattedCitation":"32","previouslyFormattedCitation":"&lt;sup&gt;32&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32</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Similarly, clinical data from Malawi demonstrated that third-generation cephalosporin resistance in bloodstream infections was associated with increased mortality and prolonged hospitalisation, highlighting the substantial morbidity burden of third-generation cephalosporin-resistant pathogens</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DOI":"10.1016/S2666-5247(22)00282-8","ISSN":"2666-5247","author":[{"dropping-particle":"","family":"Lester","given":"Rebecca","non-dropping-particle":"","parse-names":false,"suffix":""},{"dropping-particle":"","family":"Musicha","given":"Patrick","non-dropping-particle":"","parse-names":false,"suffix":""},{"dropping-particle":"","family":"Kawaza","given":"Kondwani","non-dropping-particle":"","parse-names":false,"suffix":""},{"dropping-particle":"","family":"Langton","given":"Josephine","non-dropping-particle":"","parse-names":false,"suffix":""},{"dropping-particle":"","family":"Mango","given":"James","non-dropping-particle":"","parse-names":false,"suffix":""},{"dropping-particle":"","family":"Mangochi","given":"Helen","non-dropping-particle":"","parse-names":false,"suffix":""},{"dropping-particle":"","family":"Bakali","given":"Winnie","non-dropping-particle":"","parse-names":false,"suffix":""},{"dropping-particle":"","family":"Pearse","given":"Oliver","non-dropping-particle":"","parse-names":false,"suffix":""},{"dropping-particle":"","family":"Mallewa","given":"Jane","non-dropping-particle":"","parse-names":false,"suffix":""},{"dropping-particle":"","family":"Denis","given":"Brigitte","non-dropping-particle":"","parse-names":false,"suffix":""},{"dropping-particle":"","family":"Bilima","given":"Sithembile","non-dropping-particle":"","parse-names":false,"suffix":""},{"dropping-particle":"","family":"Gordon","given":"Stephen B","non-dropping-particle":"","parse-names":false,"suffix":""},{"dropping-particle":"","family":"Lalloo","given":"David G","non-dropping-particle":"","parse-names":false,"suffix":""},{"dropping-particle":"","family":"Jewell","given":"Christopher P","non-dropping-particle":"","parse-names":false,"suffix":""},{"dropping-particle":"","family":"Feasey","given":"Nicholas A","non-dropping-particle":"","parse-names":false,"suffix":""}],"container-title":"The Lancet Microbe","id":"ITEM-1","issue":"12","issued":{"date-parts":[["2022","12"]]},"page":"e922-e930","publisher":"Elsevier","title":"Effect of resistance to third-generation cephalosporins on morbidity and mortality from bloodstream infections in Blantyre, Malawi: a prospective cohort study","type":"article-journal","volume":"3"},"uris":["http://www.mendeley.com/documents/?uuid=a7e465b6-1f6a-4577-b826-efea6721a408","http://www.mendeley.com/documents/?uuid=b4d498be-feb4-4a3b-883d-8ccc5b48aad8"]}],"mendeley":{"formattedCitation":"&lt;sup&gt;33&lt;/sup&gt;","plainTextFormattedCitation":"33","previouslyFormattedCitation":"&lt;sup&gt;33&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33</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More recently, a 2023 study of </w:t>
      </w:r>
      <w:proofErr w:type="spellStart"/>
      <w:r w:rsidRPr="00C94A70">
        <w:rPr>
          <w:rFonts w:asciiTheme="minorHAnsi" w:hAnsiTheme="minorHAnsi" w:cstheme="minorHAnsi"/>
          <w:sz w:val="20"/>
          <w:szCs w:val="20"/>
          <w:lang w:val="en-ID"/>
        </w:rPr>
        <w:t>Enterobacterales</w:t>
      </w:r>
      <w:proofErr w:type="spellEnd"/>
      <w:r w:rsidRPr="00C94A70">
        <w:rPr>
          <w:rFonts w:asciiTheme="minorHAnsi" w:hAnsiTheme="minorHAnsi" w:cstheme="minorHAnsi"/>
          <w:sz w:val="20"/>
          <w:szCs w:val="20"/>
          <w:lang w:val="en-ID"/>
        </w:rPr>
        <w:t xml:space="preserve"> bloodstream infections found that even when isolates were categorised as susceptible, definitive treatment with third-generation cephalosporins was associated with higher in-hospital mortality and longer length of stay than alternative regimens, suggesting that functional or inducible resistance may compromise outcomes</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SN":"2076-0817","author":[{"dropping-particle":"","family":"Vossius","given":"Gilles","non-dropping-particle":"","parse-names":false,"suffix":""},{"dropping-particle":"","family":"Meex","given":"Cécile","non-dropping-particle":"","parse-names":false,"suffix":""},{"dropping-particle":"","family":"Moerman","given":"Filip","non-dropping-particle":"","parse-names":false,"suffix":""},{"dropping-particle":"","family":"Thys","given":"Marie","non-dropping-particle":"","parse-names":false,"suffix":""},{"dropping-particle":"","family":"Ernst","given":"Marie","non-dropping-particle":"","parse-names":false,"suffix":""},{"dropping-particle":"","family":"Bourgeois","given":"Marie-Eve","non-dropping-particle":"","parse-names":false,"suffix":""},{"dropping-particle":"","family":"Wagner","given":"Léa","non-dropping-particle":"","parse-names":false,"suffix":""},{"dropping-particle":"","family":"Delahaye","given":"Thibaut","non-dropping-particle":"","parse-names":false,"suffix":""},{"dropping-particle":"","family":"Darcis","given":"Gilles","non-dropping-particle":"","parse-names":false,"suffix":""}],"container-title":"Pathogens","id":"ITEM-1","issue":"9","issued":{"date-parts":[["2023"]]},"page":"1152","publisher":"MDPI","title":"Clinical Outcomes of Third-Generation Cephalosporin Definitive Therapy for Bloodstream Infections Due to Enterobacterales with Potential AmpC Induction: A Single-Center Retrospective Study","type":"article-journal","volume":"12"},"uris":["http://www.mendeley.com/documents/?uuid=ceaa8fa6-86ad-4b25-8f0f-5dd0f503f7ae","http://www.mendeley.com/documents/?uuid=d840cd05-5e6e-4007-84d8-2dce8f9f642e"]}],"mendeley":{"formattedCitation":"&lt;sup&gt;34&lt;/sup&gt;","plainTextFormattedCitation":"34","previouslyFormattedCitation":"&lt;sup&gt;34&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34</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The higher mortality in patients infected with bacteria resistant to third-generation cephalosporins is related to the fact that most of these bacteria are Gram-negative and to the ability of some Gram-negative bacteria to produce </w:t>
      </w:r>
      <w:proofErr w:type="spellStart"/>
      <w:r w:rsidRPr="00C94A70">
        <w:rPr>
          <w:rFonts w:asciiTheme="minorHAnsi" w:hAnsiTheme="minorHAnsi" w:cstheme="minorHAnsi"/>
          <w:sz w:val="20"/>
          <w:szCs w:val="20"/>
          <w:lang w:val="en-ID"/>
        </w:rPr>
        <w:t>AmpC</w:t>
      </w:r>
      <w:proofErr w:type="spellEnd"/>
      <w:r w:rsidRPr="00C94A70">
        <w:rPr>
          <w:rFonts w:asciiTheme="minorHAnsi" w:hAnsiTheme="minorHAnsi" w:cstheme="minorHAnsi"/>
          <w:sz w:val="20"/>
          <w:szCs w:val="20"/>
          <w:lang w:val="en-ID"/>
        </w:rPr>
        <w:t xml:space="preserve"> β-lactamase</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SN":"2076-0817","author":[{"dropping-particle":"","family":"Vossius","given":"Gilles","non-dropping-particle":"","parse-names":false,"suffix":""},{"dropping-particle":"","family":"Meex","given":"Cécile","non-dropping-particle":"","parse-names":false,"suffix":""},{"dropping-particle":"","family":"Moerman","given":"Filip","non-dropping-particle":"","parse-names":false,"suffix":""},{"dropping-particle":"","family":"Thys","given":"Marie","non-dropping-particle":"","parse-names":false,"suffix":""},{"dropping-particle":"","family":"Ernst","given":"Marie","non-dropping-particle":"","parse-names":false,"suffix":""},{"dropping-particle":"","family":"Bourgeois","given":"Marie-Eve","non-dropping-particle":"","parse-names":false,"suffix":""},{"dropping-particle":"","family":"Wagner","given":"Léa","non-dropping-particle":"","parse-names":false,"suffix":""},{"dropping-particle":"","family":"Delahaye","given":"Thibaut","non-dropping-particle":"","parse-names":false,"suffix":""},{"dropping-particle":"","family":"Darcis","given":"Gilles","non-dropping-particle":"","parse-names":false,"suffix":""}],"container-title":"Pathogens","id":"ITEM-1","issue":"9","issued":{"date-parts":[["2023"]]},"page":"1152","publisher":"MDPI","title":"Clinical Outcomes of Third-Generation Cephalosporin Definitive Therapy for Bloodstream Infections Due to Enterobacterales with Potential AmpC Induction: A Single-Center Retrospective Study","type":"article-journal","volume":"12"},"uris":["http://www.mendeley.com/documents/?uuid=d840cd05-5e6e-4007-84d8-2dce8f9f642e","http://www.mendeley.com/documents/?uuid=ceaa8fa6-86ad-4b25-8f0f-5dd0f503f7ae"]}],"mendeley":{"formattedCitation":"&lt;sup&gt;34&lt;/sup&gt;","plainTextFormattedCitation":"34","previouslyFormattedCitation":"&lt;sup&gt;34&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34</w:t>
      </w:r>
      <w:r w:rsidRPr="00C94A70">
        <w:rPr>
          <w:rFonts w:asciiTheme="minorHAnsi" w:hAnsiTheme="minorHAnsi" w:cstheme="minorHAnsi"/>
          <w:sz w:val="20"/>
          <w:szCs w:val="20"/>
          <w:lang w:val="en-ID"/>
        </w:rPr>
        <w:fldChar w:fldCharType="end"/>
      </w:r>
    </w:p>
    <w:p w14:paraId="6A33F699" w14:textId="61625484" w:rsidR="00815C57" w:rsidRPr="00C94A70" w:rsidRDefault="00815C57" w:rsidP="00903364">
      <w:pPr>
        <w:tabs>
          <w:tab w:val="num" w:pos="720"/>
        </w:tabs>
        <w:spacing w:after="0"/>
        <w:ind w:firstLine="720"/>
        <w:jc w:val="both"/>
        <w:rPr>
          <w:rFonts w:asciiTheme="minorHAnsi" w:hAnsiTheme="minorHAnsi" w:cstheme="minorHAnsi"/>
          <w:sz w:val="20"/>
          <w:szCs w:val="20"/>
          <w:lang w:val="en-ID"/>
        </w:rPr>
      </w:pPr>
      <w:proofErr w:type="spellStart"/>
      <w:r w:rsidRPr="00C94A70">
        <w:rPr>
          <w:rFonts w:asciiTheme="minorHAnsi" w:hAnsiTheme="minorHAnsi" w:cstheme="minorHAnsi"/>
          <w:sz w:val="20"/>
          <w:szCs w:val="20"/>
          <w:lang w:val="en-ID"/>
        </w:rPr>
        <w:t>AmpC</w:t>
      </w:r>
      <w:proofErr w:type="spellEnd"/>
      <w:r w:rsidRPr="00C94A70">
        <w:rPr>
          <w:rFonts w:asciiTheme="minorHAnsi" w:hAnsiTheme="minorHAnsi" w:cstheme="minorHAnsi"/>
          <w:sz w:val="20"/>
          <w:szCs w:val="20"/>
          <w:lang w:val="en-ID"/>
        </w:rPr>
        <w:t xml:space="preserve"> β-lactamase is a class C β-lactamase enzyme produced by several Gram-negative bacteria (e.g., </w:t>
      </w:r>
      <w:r w:rsidRPr="00C94A70">
        <w:rPr>
          <w:rFonts w:asciiTheme="minorHAnsi" w:hAnsiTheme="minorHAnsi" w:cstheme="minorHAnsi"/>
          <w:i/>
          <w:iCs/>
          <w:sz w:val="20"/>
          <w:szCs w:val="20"/>
          <w:lang w:val="en-ID"/>
        </w:rPr>
        <w:t>Enterobacter cloacae</w:t>
      </w:r>
      <w:r w:rsidRPr="00C94A70">
        <w:rPr>
          <w:rFonts w:asciiTheme="minorHAnsi" w:hAnsiTheme="minorHAnsi" w:cstheme="minorHAnsi"/>
          <w:sz w:val="20"/>
          <w:szCs w:val="20"/>
          <w:lang w:val="en-ID"/>
        </w:rPr>
        <w:t xml:space="preserve">, </w:t>
      </w:r>
      <w:r w:rsidRPr="00C94A70">
        <w:rPr>
          <w:rFonts w:asciiTheme="minorHAnsi" w:hAnsiTheme="minorHAnsi" w:cstheme="minorHAnsi"/>
          <w:i/>
          <w:iCs/>
          <w:sz w:val="20"/>
          <w:szCs w:val="20"/>
          <w:lang w:val="en-ID"/>
        </w:rPr>
        <w:t>Klebsiella aerogenes</w:t>
      </w:r>
      <w:r w:rsidRPr="00C94A70">
        <w:rPr>
          <w:rFonts w:asciiTheme="minorHAnsi" w:hAnsiTheme="minorHAnsi" w:cstheme="minorHAnsi"/>
          <w:sz w:val="20"/>
          <w:szCs w:val="20"/>
          <w:lang w:val="en-ID"/>
        </w:rPr>
        <w:t xml:space="preserve">, </w:t>
      </w:r>
      <w:r w:rsidRPr="00C94A70">
        <w:rPr>
          <w:rFonts w:asciiTheme="minorHAnsi" w:hAnsiTheme="minorHAnsi" w:cstheme="minorHAnsi"/>
          <w:i/>
          <w:iCs/>
          <w:sz w:val="20"/>
          <w:szCs w:val="20"/>
          <w:lang w:val="en-ID"/>
        </w:rPr>
        <w:t xml:space="preserve">Citrobacter </w:t>
      </w:r>
      <w:proofErr w:type="spellStart"/>
      <w:r w:rsidRPr="00C94A70">
        <w:rPr>
          <w:rFonts w:asciiTheme="minorHAnsi" w:hAnsiTheme="minorHAnsi" w:cstheme="minorHAnsi"/>
          <w:i/>
          <w:iCs/>
          <w:sz w:val="20"/>
          <w:szCs w:val="20"/>
          <w:lang w:val="en-ID"/>
        </w:rPr>
        <w:t>freundii</w:t>
      </w:r>
      <w:proofErr w:type="spellEnd"/>
      <w:r w:rsidRPr="00C94A70">
        <w:rPr>
          <w:rFonts w:asciiTheme="minorHAnsi" w:hAnsiTheme="minorHAnsi" w:cstheme="minorHAnsi"/>
          <w:sz w:val="20"/>
          <w:szCs w:val="20"/>
          <w:lang w:val="en-ID"/>
        </w:rPr>
        <w:t xml:space="preserve">, </w:t>
      </w:r>
      <w:r w:rsidRPr="00C94A70">
        <w:rPr>
          <w:rFonts w:asciiTheme="minorHAnsi" w:hAnsiTheme="minorHAnsi" w:cstheme="minorHAnsi"/>
          <w:i/>
          <w:iCs/>
          <w:sz w:val="20"/>
          <w:szCs w:val="20"/>
          <w:lang w:val="en-ID"/>
        </w:rPr>
        <w:t>Serratia marcescens</w:t>
      </w:r>
      <w:r w:rsidRPr="00C94A70">
        <w:rPr>
          <w:rFonts w:asciiTheme="minorHAnsi" w:hAnsiTheme="minorHAnsi" w:cstheme="minorHAnsi"/>
          <w:sz w:val="20"/>
          <w:szCs w:val="20"/>
          <w:lang w:val="en-ID"/>
        </w:rPr>
        <w:t xml:space="preserve">, </w:t>
      </w:r>
      <w:r w:rsidRPr="00C94A70">
        <w:rPr>
          <w:rFonts w:asciiTheme="minorHAnsi" w:hAnsiTheme="minorHAnsi" w:cstheme="minorHAnsi"/>
          <w:i/>
          <w:iCs/>
          <w:sz w:val="20"/>
          <w:szCs w:val="20"/>
          <w:lang w:val="en-ID"/>
        </w:rPr>
        <w:t>Pseudomonas aeruginosa, E. coli and Klebsiella pneumoniae</w:t>
      </w:r>
      <w:r w:rsidRPr="00C94A70">
        <w:rPr>
          <w:rFonts w:asciiTheme="minorHAnsi" w:hAnsiTheme="minorHAnsi" w:cstheme="minorHAnsi"/>
          <w:sz w:val="20"/>
          <w:szCs w:val="20"/>
          <w:lang w:val="en-ID"/>
        </w:rPr>
        <w:t>)</w:t>
      </w:r>
      <w:r w:rsidRPr="00C94A70">
        <w:rPr>
          <w:rFonts w:asciiTheme="minorHAnsi" w:hAnsiTheme="minorHAnsi" w:cstheme="minorHAnsi"/>
          <w:i/>
          <w:iCs/>
          <w:sz w:val="20"/>
          <w:szCs w:val="20"/>
          <w:lang w:val="en-ID"/>
        </w:rPr>
        <w:t>.</w:t>
      </w:r>
      <w:r w:rsidRPr="00C94A70">
        <w:rPr>
          <w:rFonts w:asciiTheme="minorHAnsi" w:hAnsiTheme="minorHAnsi" w:cstheme="minorHAnsi"/>
          <w:sz w:val="20"/>
          <w:szCs w:val="20"/>
          <w:lang w:val="en-ID"/>
        </w:rPr>
        <w:t xml:space="preserve"> This type of enzyme hydrolyses a wide range of β-lactam antibiotics, including third-generation cephalosporins (3GCs) such as ceftriaxone, cefotaxime, and ceftazidime; </w:t>
      </w:r>
      <w:r w:rsidR="00C73069" w:rsidRPr="00C94A70">
        <w:rPr>
          <w:rFonts w:asciiTheme="minorHAnsi" w:hAnsiTheme="minorHAnsi" w:cstheme="minorHAnsi"/>
          <w:sz w:val="20"/>
          <w:szCs w:val="20"/>
          <w:lang w:val="en-ID"/>
        </w:rPr>
        <w:t>penicillin</w:t>
      </w:r>
      <w:r w:rsidRPr="00C94A70">
        <w:rPr>
          <w:rFonts w:asciiTheme="minorHAnsi" w:hAnsiTheme="minorHAnsi" w:cstheme="minorHAnsi"/>
          <w:sz w:val="20"/>
          <w:szCs w:val="20"/>
          <w:lang w:val="en-ID"/>
        </w:rPr>
        <w:t xml:space="preserve">; β-lactam; and </w:t>
      </w:r>
      <w:r w:rsidR="00C73069" w:rsidRPr="00C94A70">
        <w:rPr>
          <w:rFonts w:asciiTheme="minorHAnsi" w:hAnsiTheme="minorHAnsi" w:cstheme="minorHAnsi"/>
          <w:sz w:val="20"/>
          <w:szCs w:val="20"/>
          <w:lang w:val="en-ID"/>
        </w:rPr>
        <w:t>cephamycin</w:t>
      </w:r>
      <w:r w:rsidRPr="00C94A70">
        <w:rPr>
          <w:rFonts w:asciiTheme="minorHAnsi" w:hAnsiTheme="minorHAnsi" w:cstheme="minorHAnsi"/>
          <w:sz w:val="20"/>
          <w:szCs w:val="20"/>
          <w:lang w:val="en-ID"/>
        </w:rPr>
        <w:t xml:space="preserve"> (e.g., cefoxitin). </w:t>
      </w:r>
      <w:proofErr w:type="spellStart"/>
      <w:r w:rsidRPr="00C94A70">
        <w:rPr>
          <w:rFonts w:asciiTheme="minorHAnsi" w:hAnsiTheme="minorHAnsi" w:cstheme="minorHAnsi"/>
          <w:sz w:val="20"/>
          <w:szCs w:val="20"/>
          <w:lang w:val="en-ID"/>
        </w:rPr>
        <w:t>AmpC</w:t>
      </w:r>
      <w:proofErr w:type="spellEnd"/>
      <w:r w:rsidRPr="00C94A70">
        <w:rPr>
          <w:rFonts w:asciiTheme="minorHAnsi" w:hAnsiTheme="minorHAnsi" w:cstheme="minorHAnsi"/>
          <w:sz w:val="20"/>
          <w:szCs w:val="20"/>
          <w:lang w:val="en-ID"/>
        </w:rPr>
        <w:t xml:space="preserve"> enzymes break the β-lactam ring of third-generation cephalosporins, rendering them inactive. This leads to failure of some β-lactam antibiotics to inhibit cell wall synthesis, persistent bacterial growth despite therapy, and increased risk of progression to </w:t>
      </w:r>
      <w:r w:rsidR="00C73069" w:rsidRPr="00C94A70">
        <w:rPr>
          <w:rFonts w:asciiTheme="minorHAnsi" w:hAnsiTheme="minorHAnsi" w:cstheme="minorHAnsi"/>
          <w:sz w:val="20"/>
          <w:szCs w:val="20"/>
          <w:lang w:val="en-ID"/>
        </w:rPr>
        <w:t>bacteraemia</w:t>
      </w:r>
      <w:r w:rsidRPr="00C94A70">
        <w:rPr>
          <w:rFonts w:asciiTheme="minorHAnsi" w:hAnsiTheme="minorHAnsi" w:cstheme="minorHAnsi"/>
          <w:sz w:val="20"/>
          <w:szCs w:val="20"/>
          <w:lang w:val="en-ID"/>
        </w:rPr>
        <w:t xml:space="preserve"> and septic shock</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{"citationItems":[{"id":"ITEM-1","itemData":{"ISSN":"2632-1823","author":[{"dropping-particle":"","family":"Totté","given":"Joan E","non-dropping-particle":"","parse-names":false,"suffix":""},{"dropping-particle":"","family":"Quiblier","given":"Chantal","non-dropping-particle":"","parse-names":false,"suffix":""},{"dropping-particle":"","family":"Nolte","given":"Oliver","non-dropping-particle":"","parse-names":false,"suffix":""},{"dropping-particle":"","family":"Hinic","given":"Vladimira","non-dropping-particle":"","parse-names":false,"suffix":""},{"dropping-particle":"","family":"Wunderink","given":"Herman F","non-dropping-particle":"","parse-names":false,"suffix":""},{"dropping-particle":"","family":"Egli","given":"Adrian","non-dropping-particle":"","parse-names":false,"suffix":""},{"dropping-particle":"","family":"Mancini","given":"Stefano","non-dropping-particle":"","parse-names":false,"suffix":""}],"container-title":"JAC-Antimicrobial Resistance","id":"ITEM-1","issue":"3","issued":{"date-parts":[["2025"]]},"page":"dlaf091","publisher":"Oxford University Press UK","title":"Phenotypic susceptibility profiles of AmpC-and/or extended-spectrum beta-lactamase-(co) producing Escherichia coli strains","type":"article-journal","volume":"7"},"uris":["http://www.mendeley.com/documents/?uuid=5d6f5626-4a76-444c-bba7-a3df7018f41a","http://www.mendeley.com/documents/?uuid=f8da54e4-1614-4164-8292-ffb16d5dd23a"]},{"id":"ITEM-2","itemData":{"ISSN":"2226-4787","author":[{"dropping-particle":"","family":"Tebano","given":"Gianpiero","non-dropping-particle":"","parse-names":false,"suffix":""},{"dropping-particle":"","family":"Zaghi","given":"Irene","non-dropping-particle":"","parse-names":false,"suffix":""},{"dropping-particle":"","family":"Cricca","given":"Monica","non-dropping-particle":"","parse-names":false,"suffix":""},{"dropping-particle":"","family":"Cristini","given":"Francesco","non-dropping-particle":"","parse-names":false,"suffix":""}],"container-title":"Pharmacy","id":"ITEM-2","issue":"5","issued":{"date-parts":[["2024"]]},"page":"142","publisher":"MDPI","title":"Antibiotic treatment of infections caused by AmpC-producing Enterobacterales","type":"article-journal","volume":"12"},"uris":["http://www.mendeley.com/documents/?uuid=c291a804-1358-4260-8960-945f8a13e518","http://www.mendeley.com/documents/?uuid=f34a066c-e921-4387-b1fe-fc4e9a47536a"]}],"mendeley":{"formattedCitation":"&lt;sup&gt;35,36&lt;/sup&gt;","plainTextFormattedCitation":"35,36","previouslyFormattedCitation":"&lt;sup&gt;35,36&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35,36</w:t>
      </w:r>
      <w:r w:rsidRPr="00C94A70">
        <w:rPr>
          <w:rFonts w:asciiTheme="minorHAnsi" w:hAnsiTheme="minorHAnsi" w:cstheme="minorHAnsi"/>
          <w:sz w:val="20"/>
          <w:szCs w:val="20"/>
          <w:lang w:val="en-ID"/>
        </w:rPr>
        <w:fldChar w:fldCharType="end"/>
      </w:r>
    </w:p>
    <w:p w14:paraId="5D00CED1" w14:textId="0E7A82B8" w:rsidR="00815C57" w:rsidRPr="00C94A70" w:rsidRDefault="00815C57" w:rsidP="00903364">
      <w:pPr>
        <w:spacing w:after="0"/>
        <w:ind w:firstLine="720"/>
        <w:jc w:val="both"/>
        <w:rPr>
          <w:rFonts w:asciiTheme="minorHAnsi" w:hAnsiTheme="minorHAnsi" w:cstheme="minorHAnsi"/>
          <w:sz w:val="20"/>
          <w:szCs w:val="20"/>
          <w:lang w:val="en-ID"/>
        </w:rPr>
      </w:pPr>
      <w:r w:rsidRPr="00C94A70">
        <w:rPr>
          <w:rFonts w:asciiTheme="minorHAnsi" w:hAnsiTheme="minorHAnsi" w:cstheme="minorHAnsi"/>
          <w:sz w:val="20"/>
          <w:szCs w:val="20"/>
          <w:lang w:val="en-ID"/>
        </w:rPr>
        <w:t xml:space="preserve">In this study, resistance to fluoroquinolones, fourth-generation cephalosporins, piperacillin–tazobactam, and vancomycin did not show a statistically significant </w:t>
      </w:r>
      <w:r w:rsidR="006B442F" w:rsidRPr="00C94A70">
        <w:rPr>
          <w:rFonts w:asciiTheme="minorHAnsi" w:hAnsiTheme="minorHAnsi" w:cstheme="minorHAnsi"/>
          <w:sz w:val="20"/>
          <w:szCs w:val="20"/>
          <w:lang w:val="en-ID"/>
        </w:rPr>
        <w:t>association</w:t>
      </w:r>
      <w:r w:rsidRPr="00C94A70">
        <w:rPr>
          <w:rFonts w:asciiTheme="minorHAnsi" w:hAnsiTheme="minorHAnsi" w:cstheme="minorHAnsi"/>
          <w:sz w:val="20"/>
          <w:szCs w:val="20"/>
          <w:lang w:val="en-ID"/>
        </w:rPr>
        <w:t xml:space="preserve"> with sepsis mortality. Several methodological and clinical factors explain these findings. First, contemporary sepsis literature consistently shows that mortality is driven primarily by discordant therapy to the main empiric backbone agents (often third-generation cephalosporins such as ceftriaxone), rather than by resistance to all individual classes. A 2024 modelling study demonstrated that the excess risk of death in septic shock was substantially higher for ceftriaxone resistance than for cefepime resistance (4.53% vs 0.60%), indicating that resistance to some agents has a smaller, and sometimes statistically undetectable, impact on mortality at the individual</w:t>
      </w:r>
      <w:r w:rsidRPr="00C94A70">
        <w:rPr>
          <w:rFonts w:asciiTheme="minorHAnsi" w:hAnsiTheme="minorHAnsi" w:cstheme="minorHAnsi"/>
          <w:sz w:val="20"/>
          <w:szCs w:val="20"/>
          <w:lang w:val="en-ID"/>
        </w:rPr>
        <w:noBreakHyphen/>
        <w:t>patient level</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{"citationItems":[{"id":"ITEM-1","itemData":{"ISBN":"2328-8957","author":[{"dropping-particle":"","family":"Hixon","given":"Alison M","non-dropping-particle":"","parse-names":false,"suffix":""},{"dropping-particle":"","family":"Micek","given":"Scott","non-dropping-particle":"","parse-names":false,"suffix":""},{"dropping-particle":"","family":"Fraser","given":"Victoria J","non-dropping-particle":"","parse-names":false,"suffix":""},{"dropping-particle":"","family":"Kollef","given":"Marin","non-dropping-particle":"","parse-names":false,"suffix":""},{"dropping-particle":"","family":"Guillamet","given":"M Cristina Vazquez","non-dropping-particle":"","parse-names":false,"suffix":""}],"container-title":"Open Forum Infectious Diseases","id":"ITEM-1","issue":"5","issued":{"date-parts":[["2024"]]},"page":"ofae219","publisher":"Oxford University Press US","title":"Impact of Gram-Negative Bacilli Resistance Rates on Risk of Death in Septic Shock and Pneumonia","type":"paper-conference","volume":"11"},"uris":["http://www.mendeley.com/documents/?uuid=adb4c2f3-e02e-40c6-92ff-8af512238e01","http://www.mendeley.com/documents/?uuid=01fa88ad-52b1-4d07-9aac-1c247675829e"]}],"mendeley":{"formattedCitation":"&lt;sup&gt;37&lt;/sup&gt;","plainTextFormattedCitation":"37","previouslyFormattedCitation":"&lt;sup&gt;37&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37</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Second, recent systematic reviews emphasise that timing and appropriateness of initial therapy—early administration of any active broad-spectrum regimen—are stronger predictors of outcome than resistance to a specific non-backbone agent</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AC3293">
        <w:rPr>
          <w:rFonts w:asciiTheme="minorHAnsi" w:hAnsiTheme="minorHAnsi" w:cstheme="minorHAnsi"/>
          <w:sz w:val="20"/>
          <w:szCs w:val="20"/>
          <w:lang w:val="en-ID"/>
        </w:rPr>
        <w:instrText>ADDIN CSL_CITATION {"citationItems":[{"id":"ITEM-1","itemData":{"author":[{"dropping-particle":"","family":"Macias","given":"Jasmine","non-dropping-particle":"","parse-names":false,"suffix":""},{"dropping-particle":"","family":"Kahly","given":"Omar","non-dropping-particle":"","parse-names":false,"suffix":""},{"dropping-particle":"","family":"Edward","given":"Roshana","non-dropping-particle":"","parse-names":false,"suffix":""},{"dropping-particle":"","family":"Khan","given":"Sarah","non-dropping-particle":"","parse-names":false,"suffix":""},{"dropping-particle":"","family":"Qureshi","given":"Amad","non-dropping-particle":"","parse-names":false,"suffix":""},{"dropping-particle":"","family":"Shaik","given":"Alisha","non-dropping-particle":"","parse-names":false,"suffix":""},{"dropping-particle":"","family":"Shala","given":"Arta","non-dropping-particle":"","parse-names":false,"suffix":""},{"dropping-particle":"","family":"Shah","given":"Darsh","non-dropping-particle":"","parse-names":false,"suffix":""}],"container-title":"Modern Research in Inflammation","id":"ITEM-1","issue":"2","issued":{"date-parts":[["2022"]]},"page":"9-23","publisher":"Scientific Research Publishing","title":"Sepsis: A Systematic Review of Antibiotic Resistance and Antimicrobial Therapies","type":"article-journal","volume":"11"},"uris":["http://www.mendeley.com/documents/?uuid=d91ca33b-6315-4ce9-a2f8-26789319b4a3","http://www.mendeley.com/documents/?uuid=cc624273-a5f6-4100-b6de-127a125bda5f"]}],"mendeley":{"formattedCitation":"&lt;sup&gt;8&lt;/sup&gt;","plainTextFormattedCitation":"8","previouslyFormattedCitation":"&lt;sup&gt;8&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D81ADC" w:rsidRPr="00C94A70">
        <w:rPr>
          <w:rFonts w:asciiTheme="minorHAnsi" w:hAnsiTheme="minorHAnsi" w:cstheme="minorHAnsi"/>
          <w:noProof/>
          <w:sz w:val="20"/>
          <w:szCs w:val="20"/>
          <w:vertAlign w:val="superscript"/>
          <w:lang w:val="en-ID"/>
        </w:rPr>
        <w:t>8</w:t>
      </w:r>
      <w:r w:rsidRPr="00C94A70">
        <w:rPr>
          <w:rFonts w:asciiTheme="minorHAnsi" w:hAnsiTheme="minorHAnsi" w:cstheme="minorHAnsi"/>
          <w:sz w:val="20"/>
          <w:szCs w:val="20"/>
          <w:lang w:val="en-ID"/>
        </w:rPr>
        <w:fldChar w:fldCharType="end"/>
      </w:r>
      <w:r w:rsidRPr="00C94A70">
        <w:rPr>
          <w:rFonts w:asciiTheme="minorHAnsi" w:hAnsiTheme="minorHAnsi" w:cstheme="minorHAnsi"/>
          <w:sz w:val="20"/>
          <w:szCs w:val="20"/>
          <w:lang w:val="en-ID"/>
        </w:rPr>
        <w:t xml:space="preserve"> Thus, if clinicians rapidly escalated or adjusted therapy when resistance was suspected (for example, switching from fluoroquinolones or piperacillin–tazobactam to carbapenems or other active agents), the potential mortality signal of resistance to these drugs would be attenuated. Third, vancomycin is primarily active against Gram-positive pathogens, whereas the dominant burden of sepsis in many settings is due to Gram-negative organisms; as a result, vancomycin resistance patterns may have limited influence on overall mortality in a Gram–negative–predominant study, leading to a non-significant association. Finally, the relatively small number of resistant isolates and the high proportion of “unknown” susceptibility categories for some agents in this dataset likely reduced statistical power, making it more difficult to detect modest effect sizes</w:t>
      </w:r>
      <w:r w:rsidR="00E95E53" w:rsidRPr="00C94A70">
        <w:rPr>
          <w:rFonts w:asciiTheme="minorHAnsi" w:hAnsiTheme="minorHAnsi" w:cstheme="minorHAnsi"/>
          <w:sz w:val="20"/>
          <w:szCs w:val="20"/>
          <w:lang w:val="en-ID"/>
        </w:rPr>
        <w:t>.</w:t>
      </w:r>
      <w:r w:rsidRPr="00C94A70">
        <w:rPr>
          <w:rFonts w:asciiTheme="minorHAnsi" w:hAnsiTheme="minorHAnsi" w:cstheme="minorHAnsi"/>
          <w:sz w:val="20"/>
          <w:szCs w:val="20"/>
          <w:lang w:val="en-ID"/>
        </w:rPr>
        <w:fldChar w:fldCharType="begin" w:fldLock="1"/>
      </w:r>
      <w:r w:rsidR="00DA38DB">
        <w:rPr>
          <w:rFonts w:asciiTheme="minorHAnsi" w:hAnsiTheme="minorHAnsi" w:cstheme="minorHAnsi"/>
          <w:sz w:val="20"/>
          <w:szCs w:val="20"/>
          <w:lang w:val="en-ID"/>
        </w:rPr>
        <w:instrText>ADDIN CSL_CITATION {"citationItems":[{"id":"ITEM-1","itemData":{"DOI":"10.1186/s13054-021-03736-w","ISSN":"1364-8535","abstract":"Sepsis is a common consequence of infection, associated with a mortality rate &gt; 25%. Although community-acquired sepsis is more common, hospital-acquired infection is more lethal. The most common site of infection is the lung, followed by abdominal infection, catheter-associated blood steam infection and urinary tract infection. Gram-negative sepsis is more common than gram-positive infection, but sepsis can also be due to fungal and viral pathogens. To reduce mortality, it is necessary to give immediate, empiric, broad-spectrum therapy to those with severe sepsis and/or shock, but this approach can drive antimicrobial overuse and resistance and should be accompanied by a commitment to de-escalation and antimicrobial stewardship. Biomarkers such a procalcitonin can provide decision support for antibiotic use, and may identify patients with a low likelihood of infection, and in some settings, can guide duration of antibiotic therapy. Sepsis can involve drug-resistant pathogens, and this often necessitates consideration of newer antimicrobial agents.","author":[{"dropping-particle":"","family":"Niederman","given":"Michael S","non-dropping-particle":"","parse-names":false,"suffix":""},{"dropping-particle":"","family":"Baron","given":"Rebecca M","non-dropping-particle":"","parse-names":false,"suffix":""},{"dropping-particle":"","family":"Bouadma","given":"Lila","non-dropping-particle":"","parse-names":false,"suffix":""},{"dropping-particle":"","family":"Calandra","given":"Thierry","non-dropping-particle":"","parse-names":false,"suffix":""},{"dropping-particle":"","family":"Daneman","given":"Nick","non-dropping-particle":"","parse-names":false,"suffix":""},{"dropping-particle":"","family":"DeWaele","given":"Jan","non-dropping-particle":"","parse-names":false,"suffix":""},{"dropping-particle":"","family":"Kollef","given":"Marin H","non-dropping-particle":"","parse-names":false,"suffix":""},{"dropping-particle":"","family":"Lipman","given":"Jeffrey","non-dropping-particle":"","parse-names":false,"suffix":""},{"dropping-particle":"","family":"Nair","given":"Girish B","non-dropping-particle":"","parse-names":false,"suffix":""}],"container-title":"Critical Care","id":"ITEM-1","issue":"1","issued":{"date-parts":[["2021"]]},"page":"307","title":"Initial antimicrobial management of sepsis","type":"article-journal","volume":"25"},"uris":["http://www.mendeley.com/documents/?uuid=7064f92c-74aa-408a-9fd9-efa6768aa060","http://www.mendeley.com/documents/?uuid=637595dc-7987-4daf-85d4-fa28e645210a"]}],"mendeley":{"formattedCitation":"&lt;sup&gt;38&lt;/sup&gt;","plainTextFormattedCitation":"38","previouslyFormattedCitation":"&lt;sup&gt;38&lt;/sup&gt;"},"properties":{"noteIndex":0},"schema":"https://github.com/citation-style-language/schema/raw/master/csl-citation.json"}</w:instrText>
      </w:r>
      <w:r w:rsidRPr="00C94A70">
        <w:rPr>
          <w:rFonts w:asciiTheme="minorHAnsi" w:hAnsiTheme="minorHAnsi" w:cstheme="minorHAnsi"/>
          <w:sz w:val="20"/>
          <w:szCs w:val="20"/>
          <w:lang w:val="en-ID"/>
        </w:rPr>
        <w:fldChar w:fldCharType="separate"/>
      </w:r>
      <w:r w:rsidR="00AC3293" w:rsidRPr="00AC3293">
        <w:rPr>
          <w:rFonts w:asciiTheme="minorHAnsi" w:hAnsiTheme="minorHAnsi" w:cstheme="minorHAnsi"/>
          <w:noProof/>
          <w:sz w:val="20"/>
          <w:szCs w:val="20"/>
          <w:vertAlign w:val="superscript"/>
          <w:lang w:val="en-ID"/>
        </w:rPr>
        <w:t>38</w:t>
      </w:r>
      <w:r w:rsidRPr="00C94A70">
        <w:rPr>
          <w:rFonts w:asciiTheme="minorHAnsi" w:hAnsiTheme="minorHAnsi" w:cstheme="minorHAnsi"/>
          <w:sz w:val="20"/>
          <w:szCs w:val="20"/>
          <w:lang w:val="en-ID"/>
        </w:rPr>
        <w:fldChar w:fldCharType="end"/>
      </w:r>
    </w:p>
    <w:p w14:paraId="0DFA74C1" w14:textId="34705853" w:rsidR="0039349F" w:rsidRPr="00C94A70" w:rsidRDefault="0039349F" w:rsidP="00903364">
      <w:pPr>
        <w:spacing w:after="0"/>
        <w:ind w:firstLine="720"/>
        <w:jc w:val="both"/>
        <w:rPr>
          <w:rFonts w:asciiTheme="minorHAnsi" w:hAnsiTheme="minorHAnsi" w:cstheme="minorHAnsi"/>
          <w:bCs/>
          <w:sz w:val="20"/>
          <w:szCs w:val="20"/>
          <w:lang w:val="en-ID"/>
        </w:rPr>
      </w:pPr>
      <w:r w:rsidRPr="00C94A70">
        <w:rPr>
          <w:rFonts w:asciiTheme="minorHAnsi" w:hAnsiTheme="minorHAnsi" w:cstheme="minorHAnsi"/>
          <w:bCs/>
          <w:sz w:val="20"/>
          <w:szCs w:val="20"/>
          <w:lang w:val="en-ID"/>
        </w:rPr>
        <w:t>The generalisability of these findings is influenced by the single</w:t>
      </w:r>
      <w:r w:rsidRPr="00C94A70">
        <w:rPr>
          <w:rFonts w:asciiTheme="minorHAnsi" w:hAnsiTheme="minorHAnsi" w:cstheme="minorHAnsi"/>
          <w:bCs/>
          <w:sz w:val="20"/>
          <w:szCs w:val="20"/>
          <w:lang w:val="en-ID"/>
        </w:rPr>
        <w:noBreakHyphen/>
      </w:r>
      <w:r w:rsidR="00C73069" w:rsidRPr="00C94A70">
        <w:rPr>
          <w:rFonts w:asciiTheme="minorHAnsi" w:hAnsiTheme="minorHAnsi" w:cstheme="minorHAnsi"/>
          <w:bCs/>
          <w:sz w:val="20"/>
          <w:szCs w:val="20"/>
          <w:lang w:val="en-ID"/>
        </w:rPr>
        <w:t>centre</w:t>
      </w:r>
      <w:r w:rsidRPr="00C94A70">
        <w:rPr>
          <w:rFonts w:asciiTheme="minorHAnsi" w:hAnsiTheme="minorHAnsi" w:cstheme="minorHAnsi"/>
          <w:bCs/>
          <w:sz w:val="20"/>
          <w:szCs w:val="20"/>
          <w:lang w:val="en-ID"/>
        </w:rPr>
        <w:t xml:space="preserve"> design and the specific resistance patterns observed in this ICU population. Resistance profiles vary widely across regions, and hospitals with different empirical therapy protocols or pathogen distributions may observe different associations. For example, the MBIRA </w:t>
      </w:r>
      <w:r w:rsidR="00DE2D95" w:rsidRPr="00C94A70">
        <w:rPr>
          <w:rFonts w:asciiTheme="minorHAnsi" w:hAnsiTheme="minorHAnsi" w:cstheme="minorHAnsi"/>
          <w:bCs/>
          <w:sz w:val="20"/>
          <w:szCs w:val="20"/>
          <w:lang w:val="en-ID"/>
        </w:rPr>
        <w:t>multicentre</w:t>
      </w:r>
      <w:r w:rsidRPr="00C94A70">
        <w:rPr>
          <w:rFonts w:asciiTheme="minorHAnsi" w:hAnsiTheme="minorHAnsi" w:cstheme="minorHAnsi"/>
          <w:bCs/>
          <w:sz w:val="20"/>
          <w:szCs w:val="20"/>
          <w:lang w:val="en-ID"/>
        </w:rPr>
        <w:t xml:space="preserve"> cohort demonstrated substantial heterogeneity in resistance patterns and mortality across eight hospitals in Africa, underscoring the importance of local epidemiology in shaping clinical outcomes.</w:t>
      </w:r>
      <w:r w:rsidR="00D81ADC" w:rsidRPr="00C94A70">
        <w:rPr>
          <w:rFonts w:asciiTheme="minorHAnsi" w:hAnsiTheme="minorHAnsi" w:cstheme="minorHAnsi"/>
          <w:bCs/>
          <w:sz w:val="20"/>
          <w:szCs w:val="20"/>
          <w:lang w:val="en-ID"/>
        </w:rPr>
        <w:fldChar w:fldCharType="begin" w:fldLock="1"/>
      </w:r>
      <w:r w:rsidR="00DA38DB">
        <w:rPr>
          <w:rFonts w:asciiTheme="minorHAnsi" w:hAnsiTheme="minorHAnsi" w:cstheme="minorHAnsi"/>
          <w:bCs/>
          <w:sz w:val="20"/>
          <w:szCs w:val="20"/>
          <w:lang w:val="en-ID"/>
        </w:rPr>
        <w:instrText>ADDIN CSL_CITATION {"citationItems":[{"id":"ITEM-1","itemData":{"ISSN":"1473-3099","author":[{"dropping-particle":"","family":"Aiken","given":"Alexander M","non-dropping-particle":"","parse-names":false,"suffix":""},{"dropping-particle":"","family":"Rehman","given":"Andrea M","non-dropping-particle":"","parse-names":false,"suffix":""},{"dropping-particle":"","family":"Kraker","given":"Marlieke E A","non-dropping-particle":"de","parse-names":false,"suffix":""},{"dropping-particle":"","family":"Madrid","given":"Lola","non-dropping-particle":"","parse-names":false,"suffix":""},{"dropping-particle":"","family":"Kebede","given":"Meron","non-dropping-particle":"","parse-names":false,"suffix":""},{"dropping-particle":"","family":"Labi","given":"Appiah-Korang","non-dropping-particle":"","parse-names":false,"suffix":""},{"dropping-particle":"","family":"Obeng-Nkrumah","given":"Noah","non-dropping-particle":"","parse-names":false,"suffix":""},{"dropping-particle":"","family":"Nyamwaya","given":"Brian","non-dropping-particle":"","parse-names":false,"suffix":""},{"dropping-particle":"","family":"Kagucia","given":"Eunice","non-dropping-particle":"","parse-names":false,"suffix":""},{"dropping-particle":"","family":"Cocker","given":"Derek","non-dropping-particle":"","parse-names":false,"suffix":""}],"container-title":"The Lancet Infectious Diseases","id":"ITEM-1","issue":"11","issued":{"date-parts":[["2023"]]},"page":"1280-1290","publisher":"Elsevier","title":"Mortality associated with third-generation cephalosporin resistance in Enterobacterales bloodstream infections at eight sub-Saharan African hospitals (MBIRA): a prospective cohort study","type":"article-journal","volume":"23"},"uris":["http://www.mendeley.com/documents/?uuid=051d644b-173a-43b1-ad3c-e52a48cb457c","http://www.mendeley.com/documents/?uuid=f9470259-102e-45b4-a234-60310367a42f"]}],"mendeley":{"formattedCitation":"&lt;sup&gt;39&lt;/sup&gt;","plainTextFormattedCitation":"39","previouslyFormattedCitation":"&lt;sup&gt;39&lt;/sup&gt;"},"properties":{"noteIndex":0},"schema":"https://github.com/citation-style-language/schema/raw/master/csl-citation.json"}</w:instrText>
      </w:r>
      <w:r w:rsidR="00D81ADC" w:rsidRPr="00C94A70">
        <w:rPr>
          <w:rFonts w:asciiTheme="minorHAnsi" w:hAnsiTheme="minorHAnsi" w:cstheme="minorHAnsi"/>
          <w:bCs/>
          <w:sz w:val="20"/>
          <w:szCs w:val="20"/>
          <w:lang w:val="en-ID"/>
        </w:rPr>
        <w:fldChar w:fldCharType="separate"/>
      </w:r>
      <w:r w:rsidR="00AC3293" w:rsidRPr="00AC3293">
        <w:rPr>
          <w:rFonts w:asciiTheme="minorHAnsi" w:hAnsiTheme="minorHAnsi" w:cstheme="minorHAnsi"/>
          <w:bCs/>
          <w:noProof/>
          <w:sz w:val="20"/>
          <w:szCs w:val="20"/>
          <w:vertAlign w:val="superscript"/>
          <w:lang w:val="en-ID"/>
        </w:rPr>
        <w:t>39</w:t>
      </w:r>
      <w:r w:rsidR="00D81ADC" w:rsidRPr="00C94A70">
        <w:rPr>
          <w:rFonts w:asciiTheme="minorHAnsi" w:hAnsiTheme="minorHAnsi" w:cstheme="minorHAnsi"/>
          <w:bCs/>
          <w:sz w:val="20"/>
          <w:szCs w:val="20"/>
          <w:lang w:val="en-ID"/>
        </w:rPr>
        <w:fldChar w:fldCharType="end"/>
      </w:r>
      <w:r w:rsidRPr="00C94A70">
        <w:rPr>
          <w:rFonts w:asciiTheme="minorHAnsi" w:hAnsiTheme="minorHAnsi" w:cstheme="minorHAnsi"/>
          <w:bCs/>
          <w:sz w:val="20"/>
          <w:szCs w:val="20"/>
          <w:lang w:val="en-ID"/>
        </w:rPr>
        <w:t xml:space="preserve"> Therefore, while the findings provide valuable insight into the local burden of resistance and its clinical implications, broader multi</w:t>
      </w:r>
      <w:r w:rsidR="00DE2D95" w:rsidRPr="00C94A70">
        <w:rPr>
          <w:rFonts w:asciiTheme="minorHAnsi" w:hAnsiTheme="minorHAnsi" w:cstheme="minorHAnsi"/>
          <w:bCs/>
          <w:sz w:val="20"/>
          <w:szCs w:val="20"/>
          <w:lang w:val="en-ID"/>
        </w:rPr>
        <w:t>centre</w:t>
      </w:r>
      <w:r w:rsidRPr="00C94A70">
        <w:rPr>
          <w:rFonts w:asciiTheme="minorHAnsi" w:hAnsiTheme="minorHAnsi" w:cstheme="minorHAnsi"/>
          <w:bCs/>
          <w:sz w:val="20"/>
          <w:szCs w:val="20"/>
          <w:lang w:val="en-ID"/>
        </w:rPr>
        <w:t xml:space="preserve"> studies with larger sample sizes are needed to enhance external validity and support generalisation to other settings.</w:t>
      </w:r>
    </w:p>
    <w:p w14:paraId="5B9F87B9" w14:textId="77777777" w:rsidR="00815C57" w:rsidRPr="00C94A70" w:rsidRDefault="00815C57" w:rsidP="00903364">
      <w:pPr>
        <w:spacing w:after="0"/>
        <w:jc w:val="both"/>
        <w:rPr>
          <w:rFonts w:asciiTheme="minorHAnsi" w:hAnsiTheme="minorHAnsi" w:cstheme="minorHAnsi"/>
          <w:b/>
          <w:color w:val="2E74B5" w:themeColor="accent5" w:themeShade="BF"/>
          <w:spacing w:val="20"/>
          <w:sz w:val="24"/>
          <w:szCs w:val="24"/>
        </w:rPr>
      </w:pPr>
    </w:p>
    <w:p w14:paraId="526A54EB" w14:textId="0DCE4544" w:rsidR="006E7CA0" w:rsidRPr="00C94A70" w:rsidRDefault="0062099D" w:rsidP="00903364">
      <w:pPr>
        <w:spacing w:after="0"/>
        <w:jc w:val="both"/>
        <w:rPr>
          <w:rFonts w:asciiTheme="minorHAnsi" w:hAnsiTheme="minorHAnsi" w:cstheme="minorHAnsi"/>
          <w:bCs/>
          <w:sz w:val="20"/>
          <w:szCs w:val="20"/>
        </w:rPr>
      </w:pPr>
      <w:r w:rsidRPr="00C94A70">
        <w:rPr>
          <w:rFonts w:asciiTheme="minorHAnsi" w:hAnsiTheme="minorHAnsi" w:cstheme="minorHAnsi"/>
          <w:b/>
          <w:color w:val="2E74B5" w:themeColor="accent5" w:themeShade="BF"/>
          <w:spacing w:val="20"/>
          <w:sz w:val="24"/>
          <w:szCs w:val="24"/>
        </w:rPr>
        <w:t>Limitation</w:t>
      </w:r>
      <w:r w:rsidR="006E7CA0" w:rsidRPr="00C94A70">
        <w:rPr>
          <w:rFonts w:asciiTheme="minorHAnsi" w:hAnsiTheme="minorHAnsi" w:cstheme="minorHAnsi"/>
          <w:b/>
          <w:color w:val="2E74B5" w:themeColor="accent5" w:themeShade="BF"/>
          <w:spacing w:val="20"/>
          <w:sz w:val="24"/>
          <w:szCs w:val="24"/>
        </w:rPr>
        <w:t xml:space="preserve"> </w:t>
      </w:r>
    </w:p>
    <w:p w14:paraId="7041E73F" w14:textId="65E1ED50" w:rsidR="00815C57" w:rsidRPr="00C94A70" w:rsidRDefault="00815C57" w:rsidP="00903364">
      <w:pPr>
        <w:spacing w:after="0"/>
        <w:ind w:firstLine="720"/>
        <w:jc w:val="both"/>
        <w:rPr>
          <w:rFonts w:asciiTheme="minorHAnsi" w:hAnsiTheme="minorHAnsi" w:cstheme="minorHAnsi"/>
          <w:bCs/>
          <w:sz w:val="20"/>
          <w:szCs w:val="20"/>
        </w:rPr>
      </w:pPr>
      <w:r w:rsidRPr="00C94A70">
        <w:rPr>
          <w:sz w:val="20"/>
          <w:szCs w:val="20"/>
          <w:lang w:val="en-ID"/>
        </w:rPr>
        <w:t xml:space="preserve">This study has some limitations, including a relatively small sample size, which precludes subgroup analyses. In addition, the high proportion of “unknown” susceptibility categories reduces the study's statistical power. Non-significant findings for some antibiotics may reflect </w:t>
      </w:r>
      <w:r w:rsidRPr="00C94A70">
        <w:rPr>
          <w:b/>
          <w:bCs/>
          <w:sz w:val="20"/>
          <w:szCs w:val="20"/>
          <w:lang w:val="en-ID"/>
        </w:rPr>
        <w:t>i</w:t>
      </w:r>
      <w:r w:rsidRPr="00C94A70">
        <w:rPr>
          <w:sz w:val="20"/>
          <w:szCs w:val="20"/>
          <w:lang w:val="en-ID"/>
        </w:rPr>
        <w:t>nsufficient power; further study is needed to identify the correlation of the resistance of sepsis-causing bacteria to fluoroquinolones, fourth-generation cephalosporins, piperacillin–tazobactam, and vancomycin</w:t>
      </w:r>
      <w:r w:rsidRPr="00C94A70">
        <w:rPr>
          <w:sz w:val="20"/>
          <w:szCs w:val="20"/>
          <w:lang w:val="en-ID"/>
        </w:rPr>
        <w:fldChar w:fldCharType="begin" w:fldLock="1"/>
      </w:r>
      <w:r w:rsidR="00DA38DB">
        <w:rPr>
          <w:sz w:val="20"/>
          <w:szCs w:val="20"/>
          <w:lang w:val="en-ID"/>
        </w:rPr>
        <w:instrText>ADDIN CSL_CITATION {"citationItems":[{"id":"ITEM-1","itemData":{"ISSN":"0253-7176","author":[{"dropping-particle":"","family":"Andrade","given":"Chittaranjan","non-dropping-particle":"","parse-names":false,"suffix":""}],"container-title":"Indian journal of psychological medicine","id":"ITEM-1","issue":"1","issued":{"date-parts":[["2020"]]},"page":"102-103","publisher":"SAGE Publications Sage India: New Delhi, India","title":"Sample size and its importance in research","type":"article-journal","volume":"42"},"uris":["http://www.mendeley.com/documents/?uuid=e5638515-a006-4aca-8d41-708ab6d96fb3","http://www.mendeley.com/documents/?uuid=707938e7-e0db-4563-b72b-364c7f3e4567"]}],"mendeley":{"formattedCitation":"&lt;sup&gt;40&lt;/sup&gt;","plainTextFormattedCitation":"40","previouslyFormattedCitation":"&lt;sup&gt;40&lt;/sup&gt;"},"properties":{"noteIndex":0},"schema":"https://github.com/citation-style-language/schema/raw/master/csl-citation.json"}</w:instrText>
      </w:r>
      <w:r w:rsidRPr="00C94A70">
        <w:rPr>
          <w:sz w:val="20"/>
          <w:szCs w:val="20"/>
          <w:lang w:val="en-ID"/>
        </w:rPr>
        <w:fldChar w:fldCharType="separate"/>
      </w:r>
      <w:r w:rsidR="00AC3293" w:rsidRPr="00AC3293">
        <w:rPr>
          <w:noProof/>
          <w:sz w:val="20"/>
          <w:szCs w:val="20"/>
          <w:vertAlign w:val="superscript"/>
          <w:lang w:val="en-ID"/>
        </w:rPr>
        <w:t>40</w:t>
      </w:r>
      <w:r w:rsidRPr="00C94A70">
        <w:rPr>
          <w:sz w:val="20"/>
          <w:szCs w:val="20"/>
          <w:lang w:val="en-ID"/>
        </w:rPr>
        <w:fldChar w:fldCharType="end"/>
      </w:r>
      <w:r w:rsidRPr="00C94A70">
        <w:rPr>
          <w:sz w:val="20"/>
          <w:szCs w:val="20"/>
          <w:lang w:val="en-ID"/>
        </w:rPr>
        <w:t>. In addition, this study did not adjust for potential confounders such as SOFA score, comorbidities, or infection source, which may influence mortality outcomes.</w:t>
      </w:r>
    </w:p>
    <w:p w14:paraId="26A6970A" w14:textId="77777777" w:rsidR="00B03DC2" w:rsidRDefault="00B03DC2" w:rsidP="00903364">
      <w:pPr>
        <w:spacing w:after="0"/>
        <w:jc w:val="both"/>
        <w:rPr>
          <w:rFonts w:asciiTheme="minorHAnsi" w:hAnsiTheme="minorHAnsi" w:cstheme="minorHAnsi"/>
          <w:sz w:val="20"/>
          <w:szCs w:val="20"/>
        </w:rPr>
      </w:pPr>
    </w:p>
    <w:p w14:paraId="2CDC0DDC" w14:textId="77777777" w:rsidR="00AC3619" w:rsidRDefault="00AC3619" w:rsidP="00903364">
      <w:pPr>
        <w:spacing w:after="0"/>
        <w:jc w:val="both"/>
        <w:rPr>
          <w:rFonts w:asciiTheme="minorHAnsi" w:hAnsiTheme="minorHAnsi" w:cstheme="minorHAnsi"/>
          <w:sz w:val="20"/>
          <w:szCs w:val="20"/>
        </w:rPr>
      </w:pPr>
    </w:p>
    <w:p w14:paraId="0C645730" w14:textId="6F82F3C2" w:rsidR="006C664D" w:rsidRPr="00C94A70" w:rsidRDefault="009C1D1A" w:rsidP="00903364">
      <w:pPr>
        <w:spacing w:after="0"/>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lastRenderedPageBreak/>
        <w:t>CONCLUSION</w:t>
      </w:r>
      <w:r w:rsidR="00736505" w:rsidRPr="00C94A70">
        <w:rPr>
          <w:rFonts w:asciiTheme="minorHAnsi" w:hAnsiTheme="minorHAnsi" w:cstheme="minorHAnsi"/>
          <w:b/>
          <w:color w:val="2E74B5" w:themeColor="accent5" w:themeShade="BF"/>
          <w:spacing w:val="20"/>
          <w:sz w:val="24"/>
          <w:szCs w:val="24"/>
        </w:rPr>
        <w:t xml:space="preserve"> </w:t>
      </w:r>
    </w:p>
    <w:p w14:paraId="6ABADC79" w14:textId="3C311A9A" w:rsidR="00815C57" w:rsidRPr="00C94A70" w:rsidRDefault="00815C57" w:rsidP="00903364">
      <w:pPr>
        <w:spacing w:after="0"/>
        <w:ind w:firstLine="720"/>
        <w:jc w:val="both"/>
        <w:rPr>
          <w:rFonts w:asciiTheme="minorHAnsi" w:hAnsiTheme="minorHAnsi" w:cstheme="minorHAnsi"/>
          <w:bCs/>
          <w:sz w:val="20"/>
          <w:szCs w:val="20"/>
        </w:rPr>
      </w:pPr>
      <w:r w:rsidRPr="00C94A70">
        <w:rPr>
          <w:rFonts w:asciiTheme="minorHAnsi" w:hAnsiTheme="minorHAnsi" w:cstheme="minorHAnsi"/>
          <w:bCs/>
          <w:sz w:val="20"/>
          <w:szCs w:val="20"/>
        </w:rPr>
        <w:t xml:space="preserve">The outcome of sepsis therapy is </w:t>
      </w:r>
      <w:r w:rsidR="004E2B63" w:rsidRPr="00C94A70">
        <w:rPr>
          <w:rFonts w:asciiTheme="minorHAnsi" w:hAnsiTheme="minorHAnsi" w:cstheme="minorHAnsi"/>
          <w:bCs/>
          <w:sz w:val="20"/>
          <w:szCs w:val="20"/>
        </w:rPr>
        <w:t>associated</w:t>
      </w:r>
      <w:r w:rsidRPr="00C94A70">
        <w:rPr>
          <w:rFonts w:asciiTheme="minorHAnsi" w:hAnsiTheme="minorHAnsi" w:cstheme="minorHAnsi"/>
          <w:bCs/>
          <w:sz w:val="20"/>
          <w:szCs w:val="20"/>
        </w:rPr>
        <w:t xml:space="preserve"> </w:t>
      </w:r>
      <w:r w:rsidR="004E2B63" w:rsidRPr="00C94A70">
        <w:rPr>
          <w:rFonts w:asciiTheme="minorHAnsi" w:hAnsiTheme="minorHAnsi" w:cstheme="minorHAnsi"/>
          <w:bCs/>
          <w:sz w:val="20"/>
          <w:szCs w:val="20"/>
        </w:rPr>
        <w:t xml:space="preserve">with resistance of sepsis-causing bacteria to third-generation cephalosporins, but not with </w:t>
      </w:r>
      <w:r w:rsidRPr="00C94A70">
        <w:rPr>
          <w:rFonts w:asciiTheme="minorHAnsi" w:hAnsiTheme="minorHAnsi" w:cstheme="minorHAnsi"/>
          <w:bCs/>
          <w:sz w:val="20"/>
          <w:szCs w:val="20"/>
        </w:rPr>
        <w:t>resistance to fluoroquinolones, fourth-generation cephalosporins, piperacillin-tazobactam, or vancomycin.</w:t>
      </w:r>
      <w:r w:rsidR="00AF303A" w:rsidRPr="00C94A70">
        <w:rPr>
          <w:rFonts w:asciiTheme="minorHAnsi" w:hAnsiTheme="minorHAnsi" w:cstheme="minorHAnsi"/>
          <w:bCs/>
          <w:sz w:val="20"/>
          <w:szCs w:val="20"/>
        </w:rPr>
        <w:t xml:space="preserve"> </w:t>
      </w:r>
      <w:r w:rsidR="002A6430" w:rsidRPr="00C94A70">
        <w:rPr>
          <w:sz w:val="20"/>
          <w:szCs w:val="20"/>
          <w:lang w:val="en-ID"/>
        </w:rPr>
        <w:t>This study use</w:t>
      </w:r>
      <w:r w:rsidR="004E2B63" w:rsidRPr="00C94A70">
        <w:rPr>
          <w:sz w:val="20"/>
          <w:szCs w:val="20"/>
          <w:lang w:val="en-ID"/>
        </w:rPr>
        <w:t xml:space="preserve">s a </w:t>
      </w:r>
      <w:r w:rsidR="002A6430" w:rsidRPr="00C94A70">
        <w:rPr>
          <w:sz w:val="20"/>
          <w:szCs w:val="20"/>
          <w:lang w:val="en-ID"/>
        </w:rPr>
        <w:t xml:space="preserve">relatively small sample size, which precludes subgroup analyses. Non-significant findings for some antibiotics may reflect </w:t>
      </w:r>
      <w:r w:rsidR="002A6430" w:rsidRPr="00C94A70">
        <w:rPr>
          <w:b/>
          <w:bCs/>
          <w:sz w:val="20"/>
          <w:szCs w:val="20"/>
          <w:lang w:val="en-ID"/>
        </w:rPr>
        <w:t>i</w:t>
      </w:r>
      <w:r w:rsidR="002A6430" w:rsidRPr="00C94A70">
        <w:rPr>
          <w:sz w:val="20"/>
          <w:szCs w:val="20"/>
          <w:lang w:val="en-ID"/>
        </w:rPr>
        <w:t xml:space="preserve">nsufficient power; further study is needed to </w:t>
      </w:r>
      <w:r w:rsidR="004E2B63" w:rsidRPr="00C94A70">
        <w:rPr>
          <w:sz w:val="20"/>
          <w:szCs w:val="20"/>
          <w:lang w:val="en-ID"/>
        </w:rPr>
        <w:t>assess the correlation between</w:t>
      </w:r>
      <w:r w:rsidR="002A6430" w:rsidRPr="00C94A70">
        <w:rPr>
          <w:sz w:val="20"/>
          <w:szCs w:val="20"/>
          <w:lang w:val="en-ID"/>
        </w:rPr>
        <w:t xml:space="preserve"> resistance of sepsis-causing bacteria to fluoroquinolones, fourth-generation cephalosporins, piperacillin–tazobactam, and vancomycin. </w:t>
      </w:r>
      <w:r w:rsidR="00AF303A" w:rsidRPr="00C94A70">
        <w:rPr>
          <w:rFonts w:asciiTheme="minorHAnsi" w:hAnsiTheme="minorHAnsi" w:cstheme="minorHAnsi"/>
          <w:bCs/>
          <w:sz w:val="20"/>
          <w:szCs w:val="20"/>
        </w:rPr>
        <w:t xml:space="preserve">Although </w:t>
      </w:r>
      <w:r w:rsidR="002A6430" w:rsidRPr="00C94A70">
        <w:rPr>
          <w:rFonts w:asciiTheme="minorHAnsi" w:hAnsiTheme="minorHAnsi" w:cstheme="minorHAnsi"/>
          <w:bCs/>
          <w:sz w:val="20"/>
          <w:szCs w:val="20"/>
        </w:rPr>
        <w:t xml:space="preserve">the result of this study shows </w:t>
      </w:r>
      <w:r w:rsidR="004E2B63" w:rsidRPr="00C94A70">
        <w:rPr>
          <w:rFonts w:asciiTheme="minorHAnsi" w:hAnsiTheme="minorHAnsi" w:cstheme="minorHAnsi"/>
          <w:bCs/>
          <w:sz w:val="20"/>
          <w:szCs w:val="20"/>
        </w:rPr>
        <w:t>that resistance to other first-line agents was not significantly associated with mortality, this likely reflects variation in pathogen distribution, treatment adjustments during clinical care, and limited statistical power rather than a lack</w:t>
      </w:r>
      <w:r w:rsidR="00AF303A" w:rsidRPr="00C94A70">
        <w:rPr>
          <w:rFonts w:asciiTheme="minorHAnsi" w:hAnsiTheme="minorHAnsi" w:cstheme="minorHAnsi"/>
          <w:bCs/>
          <w:sz w:val="20"/>
          <w:szCs w:val="20"/>
        </w:rPr>
        <w:t xml:space="preserve"> of clinical relevance. Collectively, these findings </w:t>
      </w:r>
      <w:r w:rsidR="00DE2D95" w:rsidRPr="00C94A70">
        <w:rPr>
          <w:rFonts w:asciiTheme="minorHAnsi" w:hAnsiTheme="minorHAnsi" w:cstheme="minorHAnsi"/>
          <w:bCs/>
          <w:sz w:val="20"/>
          <w:szCs w:val="20"/>
        </w:rPr>
        <w:t>emphasize</w:t>
      </w:r>
      <w:r w:rsidR="00AF303A" w:rsidRPr="00C94A70">
        <w:rPr>
          <w:rFonts w:asciiTheme="minorHAnsi" w:hAnsiTheme="minorHAnsi" w:cstheme="minorHAnsi"/>
          <w:bCs/>
          <w:sz w:val="20"/>
          <w:szCs w:val="20"/>
        </w:rPr>
        <w:t xml:space="preserve"> the urgent need for robust antimicrobial stewardship, continuous surveillance of local resistance patterns, and the integration of rapid microbiological diagnostics to </w:t>
      </w:r>
      <w:r w:rsidR="00DE2D95" w:rsidRPr="00C94A70">
        <w:rPr>
          <w:rFonts w:asciiTheme="minorHAnsi" w:hAnsiTheme="minorHAnsi" w:cstheme="minorHAnsi"/>
          <w:bCs/>
          <w:sz w:val="20"/>
          <w:szCs w:val="20"/>
        </w:rPr>
        <w:t>optimize</w:t>
      </w:r>
      <w:r w:rsidR="00AF303A" w:rsidRPr="00C94A70">
        <w:rPr>
          <w:rFonts w:asciiTheme="minorHAnsi" w:hAnsiTheme="minorHAnsi" w:cstheme="minorHAnsi"/>
          <w:bCs/>
          <w:sz w:val="20"/>
          <w:szCs w:val="20"/>
        </w:rPr>
        <w:t xml:space="preserve"> empiric therapy and improve sepsis survival. Future research should explore predictive models and targeted interventions that can further reduce delays in appropriate therapy and mitigate the impact of antimicrobial resistance on sepsis outcomes.</w:t>
      </w:r>
    </w:p>
    <w:p w14:paraId="4E39FFEB" w14:textId="677738C2" w:rsidR="008C341A" w:rsidRPr="00C94A70" w:rsidRDefault="008C341A" w:rsidP="00903364">
      <w:pPr>
        <w:spacing w:after="0"/>
        <w:jc w:val="both"/>
        <w:rPr>
          <w:rFonts w:asciiTheme="minorHAnsi" w:hAnsiTheme="minorHAnsi" w:cstheme="minorHAnsi"/>
          <w:bCs/>
          <w:sz w:val="20"/>
          <w:szCs w:val="20"/>
        </w:rPr>
      </w:pPr>
    </w:p>
    <w:p w14:paraId="18D0C06A" w14:textId="1287BE5F" w:rsidR="00F66C91" w:rsidRPr="00C94A70" w:rsidRDefault="00F66C91" w:rsidP="00903364">
      <w:pPr>
        <w:spacing w:after="0"/>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t xml:space="preserve">FUNDING </w:t>
      </w:r>
    </w:p>
    <w:p w14:paraId="39FCEAA1" w14:textId="43D6E071" w:rsidR="00815C57" w:rsidRPr="00EC03FA" w:rsidRDefault="00815C57" w:rsidP="00EC03FA">
      <w:pPr>
        <w:spacing w:after="0"/>
        <w:ind w:firstLine="720"/>
        <w:jc w:val="both"/>
        <w:rPr>
          <w:rFonts w:asciiTheme="minorHAnsi" w:hAnsiTheme="minorHAnsi" w:cstheme="minorHAnsi"/>
          <w:bCs/>
          <w:sz w:val="20"/>
          <w:szCs w:val="20"/>
          <w:lang w:val="en-ID"/>
        </w:rPr>
      </w:pPr>
      <w:r w:rsidRPr="00C94A70">
        <w:rPr>
          <w:rFonts w:asciiTheme="minorHAnsi" w:hAnsiTheme="minorHAnsi" w:cstheme="minorHAnsi"/>
          <w:bCs/>
          <w:sz w:val="20"/>
          <w:szCs w:val="20"/>
        </w:rPr>
        <w:t>This study was supported by the Faculty of Pharmacy, Universitas Mahasaraswati Denpasar</w:t>
      </w:r>
      <w:r w:rsidR="00EC03FA">
        <w:rPr>
          <w:rFonts w:asciiTheme="minorHAnsi" w:hAnsiTheme="minorHAnsi" w:cstheme="minorHAnsi"/>
          <w:bCs/>
          <w:sz w:val="20"/>
          <w:szCs w:val="20"/>
        </w:rPr>
        <w:t xml:space="preserve"> (Grant Number: </w:t>
      </w:r>
      <w:r w:rsidR="00EC03FA" w:rsidRPr="00EC03FA">
        <w:rPr>
          <w:rFonts w:asciiTheme="minorHAnsi" w:hAnsiTheme="minorHAnsi" w:cstheme="minorHAnsi"/>
          <w:bCs/>
          <w:sz w:val="20"/>
          <w:szCs w:val="20"/>
          <w:lang w:val="en-ID"/>
        </w:rPr>
        <w:t>1119.22/E.003/FF-UNMAS/XII/2024</w:t>
      </w:r>
      <w:r w:rsidR="00EC03FA">
        <w:rPr>
          <w:rFonts w:asciiTheme="minorHAnsi" w:hAnsiTheme="minorHAnsi" w:cstheme="minorHAnsi"/>
          <w:bCs/>
          <w:sz w:val="20"/>
          <w:szCs w:val="20"/>
          <w:lang w:val="en-ID"/>
        </w:rPr>
        <w:t>)</w:t>
      </w:r>
      <w:r w:rsidR="008E68D2">
        <w:rPr>
          <w:rFonts w:asciiTheme="minorHAnsi" w:hAnsiTheme="minorHAnsi" w:cstheme="minorHAnsi"/>
          <w:bCs/>
          <w:sz w:val="20"/>
          <w:szCs w:val="20"/>
        </w:rPr>
        <w:t>.</w:t>
      </w:r>
    </w:p>
    <w:p w14:paraId="0AF7960A" w14:textId="77777777" w:rsidR="008E68D2" w:rsidRDefault="008E68D2" w:rsidP="008E68D2">
      <w:pPr>
        <w:spacing w:after="0"/>
        <w:jc w:val="both"/>
        <w:rPr>
          <w:rFonts w:asciiTheme="minorHAnsi" w:hAnsiTheme="minorHAnsi" w:cstheme="minorHAnsi"/>
          <w:bCs/>
          <w:sz w:val="20"/>
          <w:szCs w:val="20"/>
        </w:rPr>
      </w:pPr>
    </w:p>
    <w:p w14:paraId="21017091" w14:textId="77777777" w:rsidR="008E68D2" w:rsidRPr="00A11101" w:rsidRDefault="008E68D2" w:rsidP="008E68D2">
      <w:pPr>
        <w:spacing w:after="0"/>
        <w:rPr>
          <w:rFonts w:asciiTheme="minorHAnsi" w:hAnsiTheme="minorHAnsi" w:cstheme="minorHAnsi"/>
          <w:b/>
          <w:color w:val="2E74B5" w:themeColor="accent5" w:themeShade="BF"/>
          <w:spacing w:val="20"/>
          <w:sz w:val="24"/>
          <w:szCs w:val="24"/>
        </w:rPr>
      </w:pPr>
      <w:r w:rsidRPr="00A11101">
        <w:rPr>
          <w:rFonts w:asciiTheme="minorHAnsi" w:hAnsiTheme="minorHAnsi" w:cstheme="minorHAnsi"/>
          <w:b/>
          <w:color w:val="2E74B5" w:themeColor="accent5" w:themeShade="BF"/>
          <w:spacing w:val="20"/>
          <w:sz w:val="24"/>
          <w:szCs w:val="24"/>
        </w:rPr>
        <w:t>GENERATIVE AI DISCLOSURE STATEMENT</w:t>
      </w:r>
    </w:p>
    <w:p w14:paraId="5BE2A5DA" w14:textId="59BDE898" w:rsidR="008E68D2" w:rsidRPr="00C94A70" w:rsidRDefault="00EC03FA" w:rsidP="00EC03FA">
      <w:pPr>
        <w:spacing w:after="0"/>
        <w:ind w:firstLine="720"/>
        <w:jc w:val="both"/>
        <w:rPr>
          <w:rFonts w:asciiTheme="minorHAnsi" w:hAnsiTheme="minorHAnsi" w:cstheme="minorHAnsi"/>
          <w:bCs/>
          <w:sz w:val="20"/>
          <w:szCs w:val="20"/>
        </w:rPr>
      </w:pPr>
      <w:r>
        <w:rPr>
          <w:rFonts w:asciiTheme="minorHAnsi" w:hAnsiTheme="minorHAnsi" w:cstheme="minorHAnsi"/>
          <w:bCs/>
          <w:sz w:val="20"/>
          <w:szCs w:val="20"/>
        </w:rPr>
        <w:t>An artificial intelligence tool (Microsoft Copilot</w:t>
      </w:r>
      <w:r w:rsidR="00771619">
        <w:rPr>
          <w:rFonts w:asciiTheme="minorHAnsi" w:hAnsiTheme="minorHAnsi" w:cstheme="minorHAnsi"/>
          <w:bCs/>
          <w:sz w:val="20"/>
          <w:szCs w:val="20"/>
        </w:rPr>
        <w:t>, 2026</w:t>
      </w:r>
      <w:r>
        <w:rPr>
          <w:rFonts w:asciiTheme="minorHAnsi" w:hAnsiTheme="minorHAnsi" w:cstheme="minorHAnsi"/>
          <w:bCs/>
          <w:sz w:val="20"/>
          <w:szCs w:val="20"/>
        </w:rPr>
        <w:t>) was</w:t>
      </w:r>
      <w:r w:rsidRPr="00EC03FA">
        <w:rPr>
          <w:rFonts w:asciiTheme="minorHAnsi" w:hAnsiTheme="minorHAnsi" w:cstheme="minorHAnsi"/>
          <w:bCs/>
          <w:sz w:val="20"/>
          <w:szCs w:val="20"/>
        </w:rPr>
        <w:t xml:space="preserve"> used to assist in language refinement, grammar correction, and paraphrasing during manuscript preparation. All content, interpretations, analyses, and conclusions were generated, reviewed, and verified entirely by the authors, who take full responsibility for the accuracy and integrity of the work. No AI tool was used for data analysis, data interpretation, or </w:t>
      </w:r>
      <w:r>
        <w:rPr>
          <w:rFonts w:asciiTheme="minorHAnsi" w:hAnsiTheme="minorHAnsi" w:cstheme="minorHAnsi"/>
          <w:bCs/>
          <w:sz w:val="20"/>
          <w:szCs w:val="20"/>
        </w:rPr>
        <w:t xml:space="preserve">the </w:t>
      </w:r>
      <w:r w:rsidRPr="00EC03FA">
        <w:rPr>
          <w:rFonts w:asciiTheme="minorHAnsi" w:hAnsiTheme="minorHAnsi" w:cstheme="minorHAnsi"/>
          <w:bCs/>
          <w:sz w:val="20"/>
          <w:szCs w:val="20"/>
        </w:rPr>
        <w:t>generation of scientific content</w:t>
      </w:r>
      <w:r>
        <w:rPr>
          <w:rFonts w:asciiTheme="minorHAnsi" w:hAnsiTheme="minorHAnsi" w:cstheme="minorHAnsi"/>
          <w:bCs/>
          <w:sz w:val="20"/>
          <w:szCs w:val="20"/>
        </w:rPr>
        <w:t>.</w:t>
      </w:r>
    </w:p>
    <w:p w14:paraId="1C337DD7" w14:textId="77777777" w:rsidR="00D5278C" w:rsidRPr="00C94A70" w:rsidRDefault="00D5278C" w:rsidP="00903364">
      <w:pPr>
        <w:spacing w:after="0"/>
        <w:ind w:firstLine="720"/>
        <w:jc w:val="both"/>
        <w:rPr>
          <w:rFonts w:asciiTheme="minorHAnsi" w:hAnsiTheme="minorHAnsi" w:cstheme="minorHAnsi"/>
          <w:bCs/>
          <w:sz w:val="20"/>
          <w:szCs w:val="20"/>
        </w:rPr>
      </w:pPr>
    </w:p>
    <w:p w14:paraId="3D18576D" w14:textId="67BAD608" w:rsidR="002526FF" w:rsidRPr="00C94A70" w:rsidRDefault="002526FF" w:rsidP="00903364">
      <w:pPr>
        <w:spacing w:after="0"/>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t>AUTHOR CONTRIBUTION STATEMENT</w:t>
      </w:r>
      <w:r w:rsidR="007C011E" w:rsidRPr="00C94A70">
        <w:rPr>
          <w:rFonts w:asciiTheme="minorHAnsi" w:hAnsiTheme="minorHAnsi" w:cstheme="minorHAnsi"/>
          <w:b/>
          <w:color w:val="2E74B5" w:themeColor="accent5" w:themeShade="BF"/>
          <w:spacing w:val="20"/>
          <w:sz w:val="24"/>
          <w:szCs w:val="24"/>
        </w:rPr>
        <w:t xml:space="preserve"> </w:t>
      </w:r>
    </w:p>
    <w:p w14:paraId="183DAC73" w14:textId="20341BF0" w:rsidR="002526FF" w:rsidRPr="00C94A70" w:rsidRDefault="00662638" w:rsidP="00903364">
      <w:pPr>
        <w:spacing w:after="0"/>
        <w:ind w:firstLine="720"/>
        <w:jc w:val="both"/>
        <w:rPr>
          <w:rFonts w:asciiTheme="minorHAnsi" w:hAnsiTheme="minorHAnsi" w:cstheme="minorHAnsi"/>
          <w:sz w:val="20"/>
          <w:szCs w:val="20"/>
        </w:rPr>
      </w:pPr>
      <w:proofErr w:type="spellStart"/>
      <w:r w:rsidRPr="00C94A70">
        <w:rPr>
          <w:rFonts w:asciiTheme="minorHAnsi" w:hAnsiTheme="minorHAnsi" w:cstheme="minorHAnsi"/>
          <w:b/>
          <w:bCs/>
          <w:sz w:val="20"/>
          <w:szCs w:val="20"/>
        </w:rPr>
        <w:t>H</w:t>
      </w:r>
      <w:r w:rsidR="00AC3619">
        <w:rPr>
          <w:rFonts w:asciiTheme="minorHAnsi" w:hAnsiTheme="minorHAnsi" w:cstheme="minorHAnsi"/>
          <w:b/>
          <w:bCs/>
          <w:sz w:val="20"/>
          <w:szCs w:val="20"/>
        </w:rPr>
        <w:t>erleeyana</w:t>
      </w:r>
      <w:proofErr w:type="spellEnd"/>
      <w:r w:rsidR="00AC3619">
        <w:rPr>
          <w:rFonts w:asciiTheme="minorHAnsi" w:hAnsiTheme="minorHAnsi" w:cstheme="minorHAnsi"/>
          <w:b/>
          <w:bCs/>
          <w:sz w:val="20"/>
          <w:szCs w:val="20"/>
        </w:rPr>
        <w:t xml:space="preserve"> </w:t>
      </w:r>
      <w:r w:rsidRPr="00C94A70">
        <w:rPr>
          <w:rFonts w:asciiTheme="minorHAnsi" w:hAnsiTheme="minorHAnsi" w:cstheme="minorHAnsi"/>
          <w:b/>
          <w:bCs/>
          <w:sz w:val="20"/>
          <w:szCs w:val="20"/>
        </w:rPr>
        <w:t>M</w:t>
      </w:r>
      <w:r w:rsidR="00AC3619">
        <w:rPr>
          <w:rFonts w:asciiTheme="minorHAnsi" w:hAnsiTheme="minorHAnsi" w:cstheme="minorHAnsi"/>
          <w:b/>
          <w:bCs/>
          <w:sz w:val="20"/>
          <w:szCs w:val="20"/>
        </w:rPr>
        <w:t>eriyani</w:t>
      </w:r>
      <w:r w:rsidR="002526FF" w:rsidRPr="00C94A70">
        <w:rPr>
          <w:rFonts w:asciiTheme="minorHAnsi" w:hAnsiTheme="minorHAnsi" w:cstheme="minorHAnsi"/>
          <w:sz w:val="20"/>
          <w:szCs w:val="20"/>
        </w:rPr>
        <w:t xml:space="preserve">: </w:t>
      </w:r>
      <w:proofErr w:type="spellStart"/>
      <w:r w:rsidRPr="00C94A70">
        <w:rPr>
          <w:rFonts w:asciiTheme="minorHAnsi" w:hAnsiTheme="minorHAnsi" w:cstheme="minorHAnsi"/>
          <w:sz w:val="20"/>
          <w:szCs w:val="20"/>
        </w:rPr>
        <w:t>Conceptualisation</w:t>
      </w:r>
      <w:proofErr w:type="spellEnd"/>
      <w:r w:rsidRPr="00C94A70">
        <w:rPr>
          <w:rFonts w:asciiTheme="minorHAnsi" w:hAnsiTheme="minorHAnsi" w:cstheme="minorHAnsi"/>
          <w:sz w:val="20"/>
          <w:szCs w:val="20"/>
        </w:rPr>
        <w:t xml:space="preserve">, Methodology, original draft preparation; </w:t>
      </w:r>
      <w:r w:rsidRPr="00C94A70">
        <w:rPr>
          <w:rFonts w:asciiTheme="minorHAnsi" w:hAnsiTheme="minorHAnsi" w:cstheme="minorHAnsi"/>
          <w:b/>
          <w:bCs/>
          <w:sz w:val="20"/>
          <w:szCs w:val="20"/>
        </w:rPr>
        <w:t>D</w:t>
      </w:r>
      <w:r w:rsidR="00AC3619">
        <w:rPr>
          <w:rFonts w:asciiTheme="minorHAnsi" w:hAnsiTheme="minorHAnsi" w:cstheme="minorHAnsi"/>
          <w:b/>
          <w:bCs/>
          <w:sz w:val="20"/>
          <w:szCs w:val="20"/>
        </w:rPr>
        <w:t xml:space="preserve">wi </w:t>
      </w:r>
      <w:r w:rsidRPr="00C94A70">
        <w:rPr>
          <w:rFonts w:asciiTheme="minorHAnsi" w:hAnsiTheme="minorHAnsi" w:cstheme="minorHAnsi"/>
          <w:b/>
          <w:bCs/>
          <w:sz w:val="20"/>
          <w:szCs w:val="20"/>
        </w:rPr>
        <w:t>A</w:t>
      </w:r>
      <w:r w:rsidR="00AC3619">
        <w:rPr>
          <w:rFonts w:asciiTheme="minorHAnsi" w:hAnsiTheme="minorHAnsi" w:cstheme="minorHAnsi"/>
          <w:b/>
          <w:bCs/>
          <w:sz w:val="20"/>
          <w:szCs w:val="20"/>
        </w:rPr>
        <w:t xml:space="preserve">rymbhi </w:t>
      </w:r>
      <w:r w:rsidRPr="00C94A70">
        <w:rPr>
          <w:rFonts w:asciiTheme="minorHAnsi" w:hAnsiTheme="minorHAnsi" w:cstheme="minorHAnsi"/>
          <w:b/>
          <w:bCs/>
          <w:sz w:val="20"/>
          <w:szCs w:val="20"/>
        </w:rPr>
        <w:t>S</w:t>
      </w:r>
      <w:r w:rsidR="00AC3619">
        <w:rPr>
          <w:rFonts w:asciiTheme="minorHAnsi" w:hAnsiTheme="minorHAnsi" w:cstheme="minorHAnsi"/>
          <w:b/>
          <w:bCs/>
          <w:sz w:val="20"/>
          <w:szCs w:val="20"/>
        </w:rPr>
        <w:t>anjaya</w:t>
      </w:r>
      <w:r w:rsidRPr="00C94A70">
        <w:rPr>
          <w:rFonts w:asciiTheme="minorHAnsi" w:hAnsiTheme="minorHAnsi" w:cstheme="minorHAnsi"/>
          <w:sz w:val="20"/>
          <w:szCs w:val="20"/>
        </w:rPr>
        <w:t xml:space="preserve">: Software, </w:t>
      </w:r>
      <w:r w:rsidR="004147E2" w:rsidRPr="00C94A70">
        <w:rPr>
          <w:rFonts w:asciiTheme="minorHAnsi" w:hAnsiTheme="minorHAnsi" w:cstheme="minorHAnsi"/>
          <w:sz w:val="20"/>
          <w:szCs w:val="20"/>
        </w:rPr>
        <w:t>V</w:t>
      </w:r>
      <w:r w:rsidRPr="00C94A70">
        <w:rPr>
          <w:rFonts w:asciiTheme="minorHAnsi" w:hAnsiTheme="minorHAnsi" w:cstheme="minorHAnsi"/>
          <w:sz w:val="20"/>
          <w:szCs w:val="20"/>
        </w:rPr>
        <w:t xml:space="preserve">alidation, </w:t>
      </w:r>
      <w:r w:rsidR="004147E2" w:rsidRPr="00C94A70">
        <w:rPr>
          <w:rFonts w:asciiTheme="minorHAnsi" w:hAnsiTheme="minorHAnsi" w:cstheme="minorHAnsi"/>
          <w:sz w:val="20"/>
          <w:szCs w:val="20"/>
        </w:rPr>
        <w:t xml:space="preserve">Formal Analysis, Review </w:t>
      </w:r>
      <w:r w:rsidR="00EE7A5A" w:rsidRPr="00C94A70">
        <w:rPr>
          <w:rFonts w:asciiTheme="minorHAnsi" w:hAnsiTheme="minorHAnsi" w:cstheme="minorHAnsi"/>
          <w:sz w:val="20"/>
          <w:szCs w:val="20"/>
        </w:rPr>
        <w:t>and</w:t>
      </w:r>
      <w:r w:rsidR="004147E2" w:rsidRPr="00C94A70">
        <w:rPr>
          <w:rFonts w:asciiTheme="minorHAnsi" w:hAnsiTheme="minorHAnsi" w:cstheme="minorHAnsi"/>
          <w:sz w:val="20"/>
          <w:szCs w:val="20"/>
        </w:rPr>
        <w:t xml:space="preserve"> Editing</w:t>
      </w:r>
      <w:r w:rsidRPr="00C94A70">
        <w:rPr>
          <w:rFonts w:asciiTheme="minorHAnsi" w:hAnsiTheme="minorHAnsi" w:cstheme="minorHAnsi"/>
          <w:sz w:val="20"/>
          <w:szCs w:val="20"/>
        </w:rPr>
        <w:t xml:space="preserve">; </w:t>
      </w:r>
      <w:r w:rsidRPr="00C94A70">
        <w:rPr>
          <w:rFonts w:asciiTheme="minorHAnsi" w:hAnsiTheme="minorHAnsi" w:cstheme="minorHAnsi"/>
          <w:b/>
          <w:bCs/>
          <w:sz w:val="20"/>
          <w:szCs w:val="20"/>
        </w:rPr>
        <w:t>R</w:t>
      </w:r>
      <w:r w:rsidR="00391257">
        <w:rPr>
          <w:rFonts w:asciiTheme="minorHAnsi" w:hAnsiTheme="minorHAnsi" w:cstheme="minorHAnsi"/>
          <w:b/>
          <w:bCs/>
          <w:sz w:val="20"/>
          <w:szCs w:val="20"/>
        </w:rPr>
        <w:t xml:space="preserve">r. </w:t>
      </w:r>
      <w:r w:rsidRPr="00C94A70">
        <w:rPr>
          <w:rFonts w:asciiTheme="minorHAnsi" w:hAnsiTheme="minorHAnsi" w:cstheme="minorHAnsi"/>
          <w:b/>
          <w:bCs/>
          <w:sz w:val="20"/>
          <w:szCs w:val="20"/>
        </w:rPr>
        <w:t>A</w:t>
      </w:r>
      <w:r w:rsidR="00391257">
        <w:rPr>
          <w:rFonts w:asciiTheme="minorHAnsi" w:hAnsiTheme="minorHAnsi" w:cstheme="minorHAnsi"/>
          <w:b/>
          <w:bCs/>
          <w:sz w:val="20"/>
          <w:szCs w:val="20"/>
        </w:rPr>
        <w:t xml:space="preserve">sih </w:t>
      </w:r>
      <w:r w:rsidRPr="00C94A70">
        <w:rPr>
          <w:rFonts w:asciiTheme="minorHAnsi" w:hAnsiTheme="minorHAnsi" w:cstheme="minorHAnsi"/>
          <w:b/>
          <w:bCs/>
          <w:sz w:val="20"/>
          <w:szCs w:val="20"/>
        </w:rPr>
        <w:t>J</w:t>
      </w:r>
      <w:r w:rsidR="00391257">
        <w:rPr>
          <w:rFonts w:asciiTheme="minorHAnsi" w:hAnsiTheme="minorHAnsi" w:cstheme="minorHAnsi"/>
          <w:b/>
          <w:bCs/>
          <w:sz w:val="20"/>
          <w:szCs w:val="20"/>
        </w:rPr>
        <w:t>uanita</w:t>
      </w:r>
      <w:r w:rsidRPr="00C94A70">
        <w:rPr>
          <w:rFonts w:asciiTheme="minorHAnsi" w:hAnsiTheme="minorHAnsi" w:cstheme="minorHAnsi"/>
          <w:sz w:val="20"/>
          <w:szCs w:val="20"/>
        </w:rPr>
        <w:t>:</w:t>
      </w:r>
      <w:r w:rsidR="00AC33F5" w:rsidRPr="00C94A70">
        <w:rPr>
          <w:rFonts w:asciiTheme="minorHAnsi" w:hAnsiTheme="minorHAnsi" w:cstheme="minorHAnsi"/>
          <w:sz w:val="20"/>
          <w:szCs w:val="20"/>
        </w:rPr>
        <w:t xml:space="preserve"> </w:t>
      </w:r>
      <w:r w:rsidR="002526FF" w:rsidRPr="00C94A70">
        <w:rPr>
          <w:rFonts w:asciiTheme="minorHAnsi" w:hAnsiTheme="minorHAnsi" w:cstheme="minorHAnsi"/>
          <w:sz w:val="20"/>
          <w:szCs w:val="20"/>
        </w:rPr>
        <w:t>Investigation</w:t>
      </w:r>
      <w:r w:rsidRPr="00C94A70">
        <w:rPr>
          <w:rFonts w:asciiTheme="minorHAnsi" w:hAnsiTheme="minorHAnsi" w:cstheme="minorHAnsi"/>
          <w:sz w:val="20"/>
          <w:szCs w:val="20"/>
        </w:rPr>
        <w:t xml:space="preserve">, Project </w:t>
      </w:r>
      <w:r w:rsidR="004147E2" w:rsidRPr="00C94A70">
        <w:rPr>
          <w:rFonts w:asciiTheme="minorHAnsi" w:hAnsiTheme="minorHAnsi" w:cstheme="minorHAnsi"/>
          <w:sz w:val="20"/>
          <w:szCs w:val="20"/>
        </w:rPr>
        <w:t>A</w:t>
      </w:r>
      <w:r w:rsidRPr="00C94A70">
        <w:rPr>
          <w:rFonts w:asciiTheme="minorHAnsi" w:hAnsiTheme="minorHAnsi" w:cstheme="minorHAnsi"/>
          <w:sz w:val="20"/>
          <w:szCs w:val="20"/>
        </w:rPr>
        <w:t>dministration</w:t>
      </w:r>
      <w:r w:rsidR="00AC33F5" w:rsidRPr="00C94A70">
        <w:rPr>
          <w:rFonts w:asciiTheme="minorHAnsi" w:hAnsiTheme="minorHAnsi" w:cstheme="minorHAnsi"/>
          <w:sz w:val="20"/>
          <w:szCs w:val="20"/>
        </w:rPr>
        <w:t xml:space="preserve">, Review and </w:t>
      </w:r>
      <w:r w:rsidR="004147E2" w:rsidRPr="00C94A70">
        <w:rPr>
          <w:rFonts w:asciiTheme="minorHAnsi" w:hAnsiTheme="minorHAnsi" w:cstheme="minorHAnsi"/>
          <w:sz w:val="20"/>
          <w:szCs w:val="20"/>
        </w:rPr>
        <w:t>E</w:t>
      </w:r>
      <w:r w:rsidR="00AC33F5" w:rsidRPr="00C94A70">
        <w:rPr>
          <w:rFonts w:asciiTheme="minorHAnsi" w:hAnsiTheme="minorHAnsi" w:cstheme="minorHAnsi"/>
          <w:sz w:val="20"/>
          <w:szCs w:val="20"/>
        </w:rPr>
        <w:t>diting</w:t>
      </w:r>
      <w:r w:rsidR="002526FF" w:rsidRPr="00C94A70">
        <w:rPr>
          <w:rFonts w:asciiTheme="minorHAnsi" w:hAnsiTheme="minorHAnsi" w:cstheme="minorHAnsi"/>
          <w:sz w:val="20"/>
          <w:szCs w:val="20"/>
        </w:rPr>
        <w:t xml:space="preserve">; </w:t>
      </w:r>
      <w:r w:rsidRPr="00C94A70">
        <w:rPr>
          <w:rFonts w:asciiTheme="minorHAnsi" w:hAnsiTheme="minorHAnsi" w:cstheme="minorHAnsi"/>
          <w:b/>
          <w:bCs/>
          <w:sz w:val="20"/>
          <w:szCs w:val="20"/>
        </w:rPr>
        <w:t>N</w:t>
      </w:r>
      <w:r w:rsidR="009F2051">
        <w:rPr>
          <w:rFonts w:asciiTheme="minorHAnsi" w:hAnsiTheme="minorHAnsi" w:cstheme="minorHAnsi"/>
          <w:b/>
          <w:bCs/>
          <w:sz w:val="20"/>
          <w:szCs w:val="20"/>
        </w:rPr>
        <w:t xml:space="preserve">yoman </w:t>
      </w:r>
      <w:proofErr w:type="spellStart"/>
      <w:r w:rsidRPr="00C94A70">
        <w:rPr>
          <w:rFonts w:asciiTheme="minorHAnsi" w:hAnsiTheme="minorHAnsi" w:cstheme="minorHAnsi"/>
          <w:b/>
          <w:bCs/>
          <w:sz w:val="20"/>
          <w:szCs w:val="20"/>
        </w:rPr>
        <w:t>B</w:t>
      </w:r>
      <w:r w:rsidR="009F2051">
        <w:rPr>
          <w:rFonts w:asciiTheme="minorHAnsi" w:hAnsiTheme="minorHAnsi" w:cstheme="minorHAnsi"/>
          <w:b/>
          <w:bCs/>
          <w:sz w:val="20"/>
          <w:szCs w:val="20"/>
        </w:rPr>
        <w:t>udiartha</w:t>
      </w:r>
      <w:proofErr w:type="spellEnd"/>
      <w:r w:rsidR="009F2051">
        <w:rPr>
          <w:rFonts w:asciiTheme="minorHAnsi" w:hAnsiTheme="minorHAnsi" w:cstheme="minorHAnsi"/>
          <w:b/>
          <w:bCs/>
          <w:sz w:val="20"/>
          <w:szCs w:val="20"/>
        </w:rPr>
        <w:t xml:space="preserve"> </w:t>
      </w:r>
      <w:r w:rsidRPr="00C94A70">
        <w:rPr>
          <w:rFonts w:asciiTheme="minorHAnsi" w:hAnsiTheme="minorHAnsi" w:cstheme="minorHAnsi"/>
          <w:b/>
          <w:bCs/>
          <w:sz w:val="20"/>
          <w:szCs w:val="20"/>
        </w:rPr>
        <w:t>S</w:t>
      </w:r>
      <w:r w:rsidR="009F2051">
        <w:rPr>
          <w:rFonts w:asciiTheme="minorHAnsi" w:hAnsiTheme="minorHAnsi" w:cstheme="minorHAnsi"/>
          <w:b/>
          <w:bCs/>
          <w:sz w:val="20"/>
          <w:szCs w:val="20"/>
        </w:rPr>
        <w:t>iada</w:t>
      </w:r>
      <w:r w:rsidR="002526FF" w:rsidRPr="00C94A70">
        <w:rPr>
          <w:rFonts w:asciiTheme="minorHAnsi" w:hAnsiTheme="minorHAnsi" w:cstheme="minorHAnsi"/>
          <w:sz w:val="20"/>
          <w:szCs w:val="20"/>
        </w:rPr>
        <w:t xml:space="preserve">: </w:t>
      </w:r>
      <w:proofErr w:type="spellStart"/>
      <w:r w:rsidRPr="00C94A70">
        <w:rPr>
          <w:rFonts w:asciiTheme="minorHAnsi" w:hAnsiTheme="minorHAnsi" w:cstheme="minorHAnsi"/>
          <w:sz w:val="20"/>
          <w:szCs w:val="20"/>
        </w:rPr>
        <w:t>Visualisation</w:t>
      </w:r>
      <w:proofErr w:type="spellEnd"/>
      <w:r w:rsidRPr="00C94A70">
        <w:rPr>
          <w:rFonts w:asciiTheme="minorHAnsi" w:hAnsiTheme="minorHAnsi" w:cstheme="minorHAnsi"/>
          <w:sz w:val="20"/>
          <w:szCs w:val="20"/>
        </w:rPr>
        <w:t xml:space="preserve">, </w:t>
      </w:r>
      <w:r w:rsidR="002526FF" w:rsidRPr="00C94A70">
        <w:rPr>
          <w:rFonts w:asciiTheme="minorHAnsi" w:hAnsiTheme="minorHAnsi" w:cstheme="minorHAnsi"/>
          <w:sz w:val="20"/>
          <w:szCs w:val="20"/>
        </w:rPr>
        <w:t xml:space="preserve">Supervision; </w:t>
      </w:r>
      <w:r w:rsidRPr="00C94A70">
        <w:rPr>
          <w:rFonts w:asciiTheme="minorHAnsi" w:hAnsiTheme="minorHAnsi" w:cstheme="minorHAnsi"/>
          <w:b/>
          <w:bCs/>
          <w:sz w:val="20"/>
          <w:szCs w:val="20"/>
        </w:rPr>
        <w:t>I</w:t>
      </w:r>
      <w:r w:rsidR="009F2051">
        <w:rPr>
          <w:rFonts w:asciiTheme="minorHAnsi" w:hAnsiTheme="minorHAnsi" w:cstheme="minorHAnsi"/>
          <w:b/>
          <w:bCs/>
          <w:sz w:val="20"/>
          <w:szCs w:val="20"/>
        </w:rPr>
        <w:t xml:space="preserve"> </w:t>
      </w:r>
      <w:r w:rsidRPr="00C94A70">
        <w:rPr>
          <w:rFonts w:asciiTheme="minorHAnsi" w:hAnsiTheme="minorHAnsi" w:cstheme="minorHAnsi"/>
          <w:b/>
          <w:bCs/>
          <w:sz w:val="20"/>
          <w:szCs w:val="20"/>
        </w:rPr>
        <w:t>W</w:t>
      </w:r>
      <w:r w:rsidR="009F2051">
        <w:rPr>
          <w:rFonts w:asciiTheme="minorHAnsi" w:hAnsiTheme="minorHAnsi" w:cstheme="minorHAnsi"/>
          <w:b/>
          <w:bCs/>
          <w:sz w:val="20"/>
          <w:szCs w:val="20"/>
        </w:rPr>
        <w:t xml:space="preserve">ayan </w:t>
      </w:r>
      <w:r w:rsidRPr="00C94A70">
        <w:rPr>
          <w:rFonts w:asciiTheme="minorHAnsi" w:hAnsiTheme="minorHAnsi" w:cstheme="minorHAnsi"/>
          <w:b/>
          <w:bCs/>
          <w:sz w:val="20"/>
          <w:szCs w:val="20"/>
        </w:rPr>
        <w:t>M</w:t>
      </w:r>
      <w:r w:rsidR="009F2051">
        <w:rPr>
          <w:rFonts w:asciiTheme="minorHAnsi" w:hAnsiTheme="minorHAnsi" w:cstheme="minorHAnsi"/>
          <w:b/>
          <w:bCs/>
          <w:sz w:val="20"/>
          <w:szCs w:val="20"/>
        </w:rPr>
        <w:t xml:space="preserve">aysa </w:t>
      </w:r>
      <w:r w:rsidRPr="00C94A70">
        <w:rPr>
          <w:rFonts w:asciiTheme="minorHAnsi" w:hAnsiTheme="minorHAnsi" w:cstheme="minorHAnsi"/>
          <w:b/>
          <w:bCs/>
          <w:sz w:val="20"/>
          <w:szCs w:val="20"/>
        </w:rPr>
        <w:t>Y</w:t>
      </w:r>
      <w:r w:rsidR="009F2051">
        <w:rPr>
          <w:rFonts w:asciiTheme="minorHAnsi" w:hAnsiTheme="minorHAnsi" w:cstheme="minorHAnsi"/>
          <w:b/>
          <w:bCs/>
          <w:sz w:val="20"/>
          <w:szCs w:val="20"/>
        </w:rPr>
        <w:t>udiartha</w:t>
      </w:r>
      <w:r w:rsidR="002526FF" w:rsidRPr="00C94A70">
        <w:rPr>
          <w:rFonts w:asciiTheme="minorHAnsi" w:hAnsiTheme="minorHAnsi" w:cstheme="minorHAnsi"/>
          <w:sz w:val="20"/>
          <w:szCs w:val="20"/>
        </w:rPr>
        <w:t xml:space="preserve">: </w:t>
      </w:r>
      <w:r w:rsidRPr="00C94A70">
        <w:rPr>
          <w:rFonts w:asciiTheme="minorHAnsi" w:hAnsiTheme="minorHAnsi" w:cstheme="minorHAnsi"/>
          <w:sz w:val="20"/>
          <w:szCs w:val="20"/>
        </w:rPr>
        <w:t xml:space="preserve">Investigation, </w:t>
      </w:r>
      <w:r w:rsidR="00AC33F5" w:rsidRPr="00C94A70">
        <w:rPr>
          <w:rFonts w:asciiTheme="minorHAnsi" w:hAnsiTheme="minorHAnsi" w:cstheme="minorHAnsi"/>
          <w:sz w:val="20"/>
          <w:szCs w:val="20"/>
        </w:rPr>
        <w:t>Writing - Original Draft</w:t>
      </w:r>
      <w:r w:rsidR="002526FF" w:rsidRPr="00C94A70">
        <w:rPr>
          <w:rFonts w:asciiTheme="minorHAnsi" w:hAnsiTheme="minorHAnsi" w:cstheme="minorHAnsi"/>
          <w:sz w:val="20"/>
          <w:szCs w:val="20"/>
        </w:rPr>
        <w:t xml:space="preserve">; </w:t>
      </w:r>
      <w:r w:rsidRPr="00C94A70">
        <w:rPr>
          <w:rFonts w:asciiTheme="minorHAnsi" w:hAnsiTheme="minorHAnsi" w:cstheme="minorHAnsi"/>
          <w:b/>
          <w:bCs/>
          <w:sz w:val="20"/>
          <w:szCs w:val="20"/>
        </w:rPr>
        <w:t>K</w:t>
      </w:r>
      <w:r w:rsidR="009F2051">
        <w:rPr>
          <w:rFonts w:asciiTheme="minorHAnsi" w:hAnsiTheme="minorHAnsi" w:cstheme="minorHAnsi"/>
          <w:b/>
          <w:bCs/>
          <w:sz w:val="20"/>
          <w:szCs w:val="20"/>
        </w:rPr>
        <w:t xml:space="preserve">adek </w:t>
      </w:r>
      <w:r w:rsidRPr="00C94A70">
        <w:rPr>
          <w:rFonts w:asciiTheme="minorHAnsi" w:hAnsiTheme="minorHAnsi" w:cstheme="minorHAnsi"/>
          <w:b/>
          <w:bCs/>
          <w:sz w:val="20"/>
          <w:szCs w:val="20"/>
        </w:rPr>
        <w:t>S</w:t>
      </w:r>
      <w:r w:rsidR="009F2051">
        <w:rPr>
          <w:rFonts w:asciiTheme="minorHAnsi" w:hAnsiTheme="minorHAnsi" w:cstheme="minorHAnsi"/>
          <w:b/>
          <w:bCs/>
          <w:sz w:val="20"/>
          <w:szCs w:val="20"/>
        </w:rPr>
        <w:t>uryawan</w:t>
      </w:r>
      <w:r w:rsidR="002526FF" w:rsidRPr="00C94A70">
        <w:rPr>
          <w:rFonts w:asciiTheme="minorHAnsi" w:hAnsiTheme="minorHAnsi" w:cstheme="minorHAnsi"/>
          <w:sz w:val="20"/>
          <w:szCs w:val="20"/>
        </w:rPr>
        <w:t xml:space="preserve">: </w:t>
      </w:r>
      <w:r w:rsidRPr="00C94A70">
        <w:rPr>
          <w:rFonts w:asciiTheme="minorHAnsi" w:hAnsiTheme="minorHAnsi" w:cstheme="minorHAnsi"/>
          <w:sz w:val="20"/>
          <w:szCs w:val="20"/>
        </w:rPr>
        <w:t>Resources</w:t>
      </w:r>
      <w:r w:rsidR="00AC33F5" w:rsidRPr="00C94A70">
        <w:rPr>
          <w:rFonts w:asciiTheme="minorHAnsi" w:hAnsiTheme="minorHAnsi" w:cstheme="minorHAnsi"/>
          <w:sz w:val="20"/>
          <w:szCs w:val="20"/>
        </w:rPr>
        <w:t xml:space="preserve"> and Investigation</w:t>
      </w:r>
      <w:r w:rsidR="002526FF" w:rsidRPr="00C94A70">
        <w:rPr>
          <w:rFonts w:asciiTheme="minorHAnsi" w:hAnsiTheme="minorHAnsi" w:cstheme="minorHAnsi"/>
          <w:sz w:val="20"/>
          <w:szCs w:val="20"/>
        </w:rPr>
        <w:t>.</w:t>
      </w:r>
    </w:p>
    <w:p w14:paraId="119903F9" w14:textId="77777777" w:rsidR="00AC33F5" w:rsidRPr="00C94A70" w:rsidRDefault="00AC33F5" w:rsidP="00903364">
      <w:pPr>
        <w:spacing w:after="0"/>
        <w:rPr>
          <w:rFonts w:asciiTheme="minorHAnsi" w:hAnsiTheme="minorHAnsi" w:cstheme="minorHAnsi"/>
          <w:b/>
          <w:color w:val="2E74B5" w:themeColor="accent5" w:themeShade="BF"/>
          <w:spacing w:val="20"/>
          <w:sz w:val="24"/>
          <w:szCs w:val="24"/>
        </w:rPr>
      </w:pPr>
    </w:p>
    <w:p w14:paraId="0D67AFD3" w14:textId="125BD303" w:rsidR="00DD0377" w:rsidRPr="00C94A70" w:rsidRDefault="00DD0377" w:rsidP="00903364">
      <w:pPr>
        <w:spacing w:after="0"/>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t xml:space="preserve">CONFLICT OF INTEREST </w:t>
      </w:r>
      <w:r w:rsidR="00036B82" w:rsidRPr="00C94A70">
        <w:rPr>
          <w:rFonts w:asciiTheme="minorHAnsi" w:hAnsiTheme="minorHAnsi" w:cstheme="minorHAnsi"/>
          <w:b/>
          <w:color w:val="2E74B5" w:themeColor="accent5" w:themeShade="BF"/>
          <w:spacing w:val="20"/>
          <w:sz w:val="24"/>
          <w:szCs w:val="24"/>
        </w:rPr>
        <w:t xml:space="preserve">DECLARATION </w:t>
      </w:r>
    </w:p>
    <w:p w14:paraId="5DD0DC49" w14:textId="5A39E480" w:rsidR="00AC33F5" w:rsidRPr="00C94A70" w:rsidRDefault="00DD0377" w:rsidP="003C5B1B">
      <w:pPr>
        <w:spacing w:after="0"/>
        <w:ind w:firstLine="720"/>
        <w:jc w:val="both"/>
        <w:rPr>
          <w:rFonts w:asciiTheme="minorHAnsi" w:hAnsiTheme="minorHAnsi" w:cstheme="minorHAnsi"/>
          <w:sz w:val="20"/>
          <w:szCs w:val="20"/>
        </w:rPr>
      </w:pPr>
      <w:r w:rsidRPr="00C94A70">
        <w:rPr>
          <w:rFonts w:asciiTheme="minorHAnsi" w:hAnsiTheme="minorHAnsi" w:cstheme="minorHAnsi"/>
          <w:sz w:val="20"/>
          <w:szCs w:val="20"/>
        </w:rPr>
        <w:t>The authors declare no conflict of interest</w:t>
      </w:r>
      <w:r w:rsidR="00504C25">
        <w:rPr>
          <w:rFonts w:asciiTheme="minorHAnsi" w:hAnsiTheme="minorHAnsi" w:cstheme="minorHAnsi"/>
          <w:sz w:val="20"/>
          <w:szCs w:val="20"/>
        </w:rPr>
        <w:t>.</w:t>
      </w:r>
    </w:p>
    <w:p w14:paraId="3F498552" w14:textId="77777777" w:rsidR="00DD0377" w:rsidRPr="00C94A70" w:rsidRDefault="00DD0377" w:rsidP="00903364">
      <w:pPr>
        <w:spacing w:after="0"/>
        <w:rPr>
          <w:rFonts w:asciiTheme="minorHAnsi" w:hAnsiTheme="minorHAnsi" w:cstheme="minorHAnsi"/>
          <w:b/>
          <w:color w:val="2E74B5" w:themeColor="accent5" w:themeShade="BF"/>
          <w:spacing w:val="20"/>
          <w:sz w:val="24"/>
          <w:szCs w:val="24"/>
        </w:rPr>
      </w:pPr>
    </w:p>
    <w:p w14:paraId="007196C5" w14:textId="0D9B8BF5" w:rsidR="006C664D" w:rsidRPr="00C94A70" w:rsidRDefault="00AC33F5" w:rsidP="00903364">
      <w:pPr>
        <w:spacing w:after="0"/>
        <w:jc w:val="both"/>
        <w:rPr>
          <w:rFonts w:asciiTheme="minorHAnsi" w:hAnsiTheme="minorHAnsi" w:cstheme="minorHAnsi"/>
          <w:b/>
          <w:color w:val="2E74B5" w:themeColor="accent5" w:themeShade="BF"/>
          <w:spacing w:val="20"/>
          <w:sz w:val="24"/>
          <w:szCs w:val="24"/>
        </w:rPr>
      </w:pPr>
      <w:r w:rsidRPr="00C94A70">
        <w:rPr>
          <w:rFonts w:asciiTheme="minorHAnsi" w:hAnsiTheme="minorHAnsi" w:cstheme="minorHAnsi"/>
          <w:b/>
          <w:color w:val="2E74B5" w:themeColor="accent5" w:themeShade="BF"/>
          <w:spacing w:val="20"/>
          <w:sz w:val="24"/>
          <w:szCs w:val="24"/>
        </w:rPr>
        <w:t>REFFERENCES</w:t>
      </w:r>
      <w:r w:rsidR="00736505" w:rsidRPr="00C94A70">
        <w:rPr>
          <w:rFonts w:asciiTheme="minorHAnsi" w:hAnsiTheme="minorHAnsi" w:cstheme="minorHAnsi"/>
          <w:b/>
          <w:color w:val="2E74B5" w:themeColor="accent5" w:themeShade="BF"/>
          <w:spacing w:val="20"/>
          <w:sz w:val="24"/>
          <w:szCs w:val="24"/>
        </w:rPr>
        <w:t xml:space="preserve"> </w:t>
      </w:r>
    </w:p>
    <w:p w14:paraId="2682B317" w14:textId="65C251B3" w:rsidR="00DA38DB" w:rsidRPr="00DA38DB" w:rsidRDefault="00AC33F5" w:rsidP="002210A8">
      <w:pPr>
        <w:widowControl w:val="0"/>
        <w:autoSpaceDE w:val="0"/>
        <w:autoSpaceDN w:val="0"/>
        <w:adjustRightInd w:val="0"/>
        <w:spacing w:after="60" w:line="240" w:lineRule="auto"/>
        <w:ind w:left="640" w:hanging="640"/>
        <w:jc w:val="both"/>
        <w:rPr>
          <w:rFonts w:cs="Calibri"/>
          <w:noProof/>
          <w:sz w:val="20"/>
        </w:rPr>
      </w:pPr>
      <w:r w:rsidRPr="00C94A70">
        <w:rPr>
          <w:rFonts w:asciiTheme="minorHAnsi" w:hAnsiTheme="minorHAnsi" w:cstheme="minorHAnsi"/>
          <w:b/>
          <w:sz w:val="20"/>
          <w:szCs w:val="20"/>
        </w:rPr>
        <w:fldChar w:fldCharType="begin" w:fldLock="1"/>
      </w:r>
      <w:r w:rsidRPr="00C94A70">
        <w:rPr>
          <w:rFonts w:asciiTheme="minorHAnsi" w:hAnsiTheme="minorHAnsi" w:cstheme="minorHAnsi"/>
          <w:b/>
          <w:sz w:val="20"/>
          <w:szCs w:val="20"/>
        </w:rPr>
        <w:instrText xml:space="preserve">ADDIN Mendeley Bibliography CSL_BIBLIOGRAPHY </w:instrText>
      </w:r>
      <w:r w:rsidRPr="00C94A70">
        <w:rPr>
          <w:rFonts w:asciiTheme="minorHAnsi" w:hAnsiTheme="minorHAnsi" w:cstheme="minorHAnsi"/>
          <w:b/>
          <w:sz w:val="20"/>
          <w:szCs w:val="20"/>
        </w:rPr>
        <w:fldChar w:fldCharType="separate"/>
      </w:r>
      <w:r w:rsidR="00DA38DB" w:rsidRPr="00DA38DB">
        <w:rPr>
          <w:rFonts w:cs="Calibri"/>
          <w:noProof/>
          <w:sz w:val="20"/>
        </w:rPr>
        <w:t>1.</w:t>
      </w:r>
      <w:r w:rsidR="00DA38DB" w:rsidRPr="00DA38DB">
        <w:rPr>
          <w:rFonts w:cs="Calibri"/>
          <w:noProof/>
          <w:sz w:val="20"/>
        </w:rPr>
        <w:tab/>
        <w:t xml:space="preserve">Fadrian F, Ahmad A, Harvindra A, Putri VY. Different Sepsis Patient Outcomes Due to Multidrug-Resistant Organisms (MDRO): A Study of Empirical Antibiotic Sensitivity Test Results. </w:t>
      </w:r>
      <w:r w:rsidR="00DA38DB" w:rsidRPr="00DA38DB">
        <w:rPr>
          <w:rFonts w:cs="Calibri"/>
          <w:i/>
          <w:iCs/>
          <w:noProof/>
          <w:sz w:val="20"/>
        </w:rPr>
        <w:t>Heal Tadulako J (Jurnal Kesehat Tadulako)</w:t>
      </w:r>
      <w:r w:rsidR="00DA38DB" w:rsidRPr="00DA38DB">
        <w:rPr>
          <w:rFonts w:cs="Calibri"/>
          <w:noProof/>
          <w:sz w:val="20"/>
        </w:rPr>
        <w:t>. 2025;11(3):462-479. doi:10.22487/htj.v11i3.1740</w:t>
      </w:r>
    </w:p>
    <w:p w14:paraId="7F1D3BBD"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w:t>
      </w:r>
      <w:r w:rsidRPr="00DA38DB">
        <w:rPr>
          <w:rFonts w:cs="Calibri"/>
          <w:noProof/>
          <w:sz w:val="20"/>
        </w:rPr>
        <w:tab/>
        <w:t xml:space="preserve">Rudd KE, Johnson SC, Agesa KM, Shackelford KA, Tsoi D, Kievlan DR, Colombara D V., Ikuta KS, Kissoon N, Finfer S, Fleischmann-Struzek C, Machado FR, Reinhart KK, Rowan K, Seymour CW, Watson RS, West TE, Marinho F, Hay SI, Lozano R, Lopez AD, Angus DC, Murray CJL, Naghavi M. Global, regional, and national sepsis incidence and mortality, 1990–2017: analysis for the Global Burden of Disease Study. </w:t>
      </w:r>
      <w:r w:rsidRPr="00DA38DB">
        <w:rPr>
          <w:rFonts w:cs="Calibri"/>
          <w:i/>
          <w:iCs/>
          <w:noProof/>
          <w:sz w:val="20"/>
        </w:rPr>
        <w:t>Lancet</w:t>
      </w:r>
      <w:r w:rsidRPr="00DA38DB">
        <w:rPr>
          <w:rFonts w:cs="Calibri"/>
          <w:noProof/>
          <w:sz w:val="20"/>
        </w:rPr>
        <w:t>. 2020;395(10219):200-211. doi:10.1016/S0140-6736(19)32989-7</w:t>
      </w:r>
    </w:p>
    <w:p w14:paraId="1F89BF51"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w:t>
      </w:r>
      <w:r w:rsidRPr="00DA38DB">
        <w:rPr>
          <w:rFonts w:cs="Calibri"/>
          <w:noProof/>
          <w:sz w:val="20"/>
        </w:rPr>
        <w:tab/>
        <w:t xml:space="preserve">Collaborators GS. Global, regional, and national sepsis incidence and mortality, 1990-2021: a systematic analysis. </w:t>
      </w:r>
      <w:r w:rsidRPr="00DA38DB">
        <w:rPr>
          <w:rFonts w:cs="Calibri"/>
          <w:i/>
          <w:iCs/>
          <w:noProof/>
          <w:sz w:val="20"/>
        </w:rPr>
        <w:t>Lancet Glob Heal</w:t>
      </w:r>
      <w:r w:rsidRPr="00DA38DB">
        <w:rPr>
          <w:rFonts w:cs="Calibri"/>
          <w:noProof/>
          <w:sz w:val="20"/>
        </w:rPr>
        <w:t>. 2025;13(12):e2013-e2026. doi:10.1016/S2214-109X(25)00356-0</w:t>
      </w:r>
    </w:p>
    <w:p w14:paraId="027D516F"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4.</w:t>
      </w:r>
      <w:r w:rsidRPr="00DA38DB">
        <w:rPr>
          <w:rFonts w:cs="Calibri"/>
          <w:noProof/>
          <w:sz w:val="20"/>
        </w:rPr>
        <w:tab/>
        <w:t xml:space="preserve">Gretland J, Sjømæling S, Mosevoll KA, Reikvam H. Timing of antibiotic initiation in sepsis and neutropenic fever. </w:t>
      </w:r>
      <w:r w:rsidRPr="00DA38DB">
        <w:rPr>
          <w:rFonts w:cs="Calibri"/>
          <w:i/>
          <w:iCs/>
          <w:noProof/>
          <w:sz w:val="20"/>
        </w:rPr>
        <w:t>Front Med</w:t>
      </w:r>
      <w:r w:rsidRPr="00DA38DB">
        <w:rPr>
          <w:rFonts w:cs="Calibri"/>
          <w:noProof/>
          <w:sz w:val="20"/>
        </w:rPr>
        <w:t>. 2025;12(September). doi:10.3389/fmed.2025.1597047</w:t>
      </w:r>
    </w:p>
    <w:p w14:paraId="1CA9BBFC"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5.</w:t>
      </w:r>
      <w:r w:rsidRPr="00DA38DB">
        <w:rPr>
          <w:rFonts w:cs="Calibri"/>
          <w:noProof/>
          <w:sz w:val="20"/>
        </w:rPr>
        <w:tab/>
        <w:t xml:space="preserve">Isaranuwatchai S, Buppanharun J, Thongbun T, Thavornwattana K, Harnphadungkit M, Siripongboonsitti T. Early antibiotics administration reduces mortality in sepsis patients in tertiary care hospital. </w:t>
      </w:r>
      <w:r w:rsidRPr="00DA38DB">
        <w:rPr>
          <w:rFonts w:cs="Calibri"/>
          <w:i/>
          <w:iCs/>
          <w:noProof/>
          <w:sz w:val="20"/>
        </w:rPr>
        <w:t>BMC Infect Dis</w:t>
      </w:r>
      <w:r w:rsidRPr="00DA38DB">
        <w:rPr>
          <w:rFonts w:cs="Calibri"/>
          <w:noProof/>
          <w:sz w:val="20"/>
        </w:rPr>
        <w:t>. 2025;25(1). doi:10.1186/s12879-025-10532-2</w:t>
      </w:r>
    </w:p>
    <w:p w14:paraId="369D6FEB"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6.</w:t>
      </w:r>
      <w:r w:rsidRPr="00DA38DB">
        <w:rPr>
          <w:rFonts w:cs="Calibri"/>
          <w:noProof/>
          <w:sz w:val="20"/>
        </w:rPr>
        <w:tab/>
        <w:t xml:space="preserve">Strich JR, Heil EL, Masur H. Considerations for empiric antimicrobial therapy in sepsis and septic shock in an era of antimicrobial resistance. </w:t>
      </w:r>
      <w:r w:rsidRPr="00DA38DB">
        <w:rPr>
          <w:rFonts w:cs="Calibri"/>
          <w:i/>
          <w:iCs/>
          <w:noProof/>
          <w:sz w:val="20"/>
        </w:rPr>
        <w:t>J Infect Dis</w:t>
      </w:r>
      <w:r w:rsidRPr="00DA38DB">
        <w:rPr>
          <w:rFonts w:cs="Calibri"/>
          <w:noProof/>
          <w:sz w:val="20"/>
        </w:rPr>
        <w:t>. 2021;222(Suppl 2):S119-S131. doi:10.1093/INFDIS/JIAA221</w:t>
      </w:r>
    </w:p>
    <w:p w14:paraId="50DB4BC8"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lastRenderedPageBreak/>
        <w:t>7.</w:t>
      </w:r>
      <w:r w:rsidRPr="00DA38DB">
        <w:rPr>
          <w:rFonts w:cs="Calibri"/>
          <w:noProof/>
          <w:sz w:val="20"/>
        </w:rPr>
        <w:tab/>
        <w:t xml:space="preserve">Tićac M, Grubić Kezele T, Bubonja Šonje M. Impact of Appropriate Empirical Antibiotic Treatment on the Clinical Response of Septic Patients in Intensive Care Unit: A Single-Center Observational Study. </w:t>
      </w:r>
      <w:r w:rsidRPr="00DA38DB">
        <w:rPr>
          <w:rFonts w:cs="Calibri"/>
          <w:i/>
          <w:iCs/>
          <w:noProof/>
          <w:sz w:val="20"/>
        </w:rPr>
        <w:t>Antibiotics</w:t>
      </w:r>
      <w:r w:rsidRPr="00DA38DB">
        <w:rPr>
          <w:rFonts w:cs="Calibri"/>
          <w:noProof/>
          <w:sz w:val="20"/>
        </w:rPr>
        <w:t>. 2024;13(6):1-13. doi:10.3390/antibiotics13060569</w:t>
      </w:r>
    </w:p>
    <w:p w14:paraId="07F72774"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8.</w:t>
      </w:r>
      <w:r w:rsidRPr="00DA38DB">
        <w:rPr>
          <w:rFonts w:cs="Calibri"/>
          <w:noProof/>
          <w:sz w:val="20"/>
        </w:rPr>
        <w:tab/>
        <w:t xml:space="preserve">Macias J, Kahly O, Edward R, Khan S, Qureshi A, Shaik A, Shala A, Shah D. Sepsis: A Systematic Review of Antibiotic Resistance and Antimicrobial Therapies. </w:t>
      </w:r>
      <w:r w:rsidRPr="00DA38DB">
        <w:rPr>
          <w:rFonts w:cs="Calibri"/>
          <w:i/>
          <w:iCs/>
          <w:noProof/>
          <w:sz w:val="20"/>
        </w:rPr>
        <w:t>Mod Res Inflamm</w:t>
      </w:r>
      <w:r w:rsidRPr="00DA38DB">
        <w:rPr>
          <w:rFonts w:cs="Calibri"/>
          <w:noProof/>
          <w:sz w:val="20"/>
        </w:rPr>
        <w:t>. 2022;11(2):9-23.</w:t>
      </w:r>
    </w:p>
    <w:p w14:paraId="2FB140EB"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9.</w:t>
      </w:r>
      <w:r w:rsidRPr="00DA38DB">
        <w:rPr>
          <w:rFonts w:cs="Calibri"/>
          <w:noProof/>
          <w:sz w:val="20"/>
        </w:rPr>
        <w:tab/>
        <w:t>Marino A, Maniaci A, Lentini M, Ronsivalle S, Nunnari G, Cocuzza S, Parisi FM, Cacopardo B, Lavalle S, Via L La. The Global Burden of Multidrug-Resistant Bacteria. Published online 2025:1-20.</w:t>
      </w:r>
    </w:p>
    <w:p w14:paraId="3E143E8E"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10.</w:t>
      </w:r>
      <w:r w:rsidRPr="00DA38DB">
        <w:rPr>
          <w:rFonts w:cs="Calibri"/>
          <w:noProof/>
          <w:sz w:val="20"/>
        </w:rPr>
        <w:tab/>
        <w:t xml:space="preserve">Ntambi S, Sutiningsih D, Hussein MA, Laksono B. Distribution and Prevalence of Multidrug-Resistant Organisms (MDROs) Among MDRO-Positive Individuals at Dr. Kariadi Hospital. </w:t>
      </w:r>
      <w:r w:rsidRPr="00DA38DB">
        <w:rPr>
          <w:rFonts w:cs="Calibri"/>
          <w:i/>
          <w:iCs/>
          <w:noProof/>
          <w:sz w:val="20"/>
        </w:rPr>
        <w:t>J Epidemiol Kesehat Komunitas</w:t>
      </w:r>
      <w:r w:rsidRPr="00DA38DB">
        <w:rPr>
          <w:rFonts w:cs="Calibri"/>
          <w:noProof/>
          <w:sz w:val="20"/>
        </w:rPr>
        <w:t>. 2023;8(2):103-109. doi:10.14710/jekk.v8i2.18530</w:t>
      </w:r>
    </w:p>
    <w:p w14:paraId="29B0967E"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11.</w:t>
      </w:r>
      <w:r w:rsidRPr="00DA38DB">
        <w:rPr>
          <w:rFonts w:cs="Calibri"/>
          <w:noProof/>
          <w:sz w:val="20"/>
        </w:rPr>
        <w:tab/>
        <w:t>Cornistein W, Balasini C, Nuccetelli Y, Rodriguez VM, Cudmani N, Roca MV, Sadino G, Brizuela M, Fernández A, González S, Águila D, Macchi A, Staneloni MI, Estenssoro E, Cornistein W, Balasini C, Nuccetelli Y, Rodriguez VM, Cudmani N, Roca MV, Sadino G, Brizuela M, Fernández A, González S, Águila D, Macchi A, Staneloni MI, Estenssoro E. infections in adult intensive care units in Argentina ( PREV-AR ). 2025;69(3).</w:t>
      </w:r>
    </w:p>
    <w:p w14:paraId="768A2F7E"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12.</w:t>
      </w:r>
      <w:r w:rsidRPr="00DA38DB">
        <w:rPr>
          <w:rFonts w:cs="Calibri"/>
          <w:noProof/>
          <w:sz w:val="20"/>
        </w:rPr>
        <w:tab/>
        <w:t xml:space="preserve">Jalal SM, Jalal SH, Alabdullatif AA, Alasmakh KE, Alnasser ZH, Alhamdan WY. Evaluating Sepsis Management and Patient Outcomes: A Comprehensive Retrospective Study of Clinical and Treatment Data. </w:t>
      </w:r>
      <w:r w:rsidRPr="00DA38DB">
        <w:rPr>
          <w:rFonts w:cs="Calibri"/>
          <w:i/>
          <w:iCs/>
          <w:noProof/>
          <w:sz w:val="20"/>
        </w:rPr>
        <w:t>J Clin Med</w:t>
      </w:r>
      <w:r w:rsidRPr="00DA38DB">
        <w:rPr>
          <w:rFonts w:cs="Calibri"/>
          <w:noProof/>
          <w:sz w:val="20"/>
        </w:rPr>
        <w:t>. 2025;14(10):1-15. doi:10.3390/jcm14103555</w:t>
      </w:r>
    </w:p>
    <w:p w14:paraId="2E4CFF2B"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13.</w:t>
      </w:r>
      <w:r w:rsidRPr="00DA38DB">
        <w:rPr>
          <w:rFonts w:cs="Calibri"/>
          <w:noProof/>
          <w:sz w:val="20"/>
        </w:rPr>
        <w:tab/>
        <w:t xml:space="preserve">Rhee C, Kadri SS, Dekker JP, Danner RL, Chen HC, Fram D, Zhang F, Wang R, Klompas M, Program  for the CDCPE. Prevalence of Antibiotic-Resistant Pathogens in Culture-Proven Sepsis and Outcomes Associated With Inadequate and Broad-Spectrum Empiric Antibiotic Use. </w:t>
      </w:r>
      <w:r w:rsidRPr="00DA38DB">
        <w:rPr>
          <w:rFonts w:cs="Calibri"/>
          <w:i/>
          <w:iCs/>
          <w:noProof/>
          <w:sz w:val="20"/>
        </w:rPr>
        <w:t>JAMA Netw Open</w:t>
      </w:r>
      <w:r w:rsidRPr="00DA38DB">
        <w:rPr>
          <w:rFonts w:cs="Calibri"/>
          <w:noProof/>
          <w:sz w:val="20"/>
        </w:rPr>
        <w:t>. 2020;3(4):e202899-e202899. doi:10.1001/jamanetworkopen.2020.2899</w:t>
      </w:r>
    </w:p>
    <w:p w14:paraId="5AE5DAFA"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14.</w:t>
      </w:r>
      <w:r w:rsidRPr="00DA38DB">
        <w:rPr>
          <w:rFonts w:cs="Calibri"/>
          <w:noProof/>
          <w:sz w:val="20"/>
        </w:rPr>
        <w:tab/>
        <w:t xml:space="preserve">Riccobene T, Ye G, Lock J, Yu KC, Ai CE, Gregory S, Gupta V. Outcomes of inadequate empiric therapy and timing of newer antibacterial therapy in hospitalized adults with culture-positive Enterobacterales and Pseudomonas aeruginosa: a multicenter analysis. </w:t>
      </w:r>
      <w:r w:rsidRPr="00DA38DB">
        <w:rPr>
          <w:rFonts w:cs="Calibri"/>
          <w:i/>
          <w:iCs/>
          <w:noProof/>
          <w:sz w:val="20"/>
        </w:rPr>
        <w:t>BMC Infect Dis</w:t>
      </w:r>
      <w:r w:rsidRPr="00DA38DB">
        <w:rPr>
          <w:rFonts w:cs="Calibri"/>
          <w:noProof/>
          <w:sz w:val="20"/>
        </w:rPr>
        <w:t>. 2024;24(1). doi:10.1186/s12879-024-09700-7</w:t>
      </w:r>
    </w:p>
    <w:p w14:paraId="3F0E982A"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15.</w:t>
      </w:r>
      <w:r w:rsidRPr="00DA38DB">
        <w:rPr>
          <w:rFonts w:cs="Calibri"/>
          <w:noProof/>
          <w:sz w:val="20"/>
        </w:rPr>
        <w:tab/>
        <w:t xml:space="preserve">Al-Sunaidar KA, Aziz NA, Hassan Y, Jamshed S, Sekar M. Association of Multidrug Resistance Bacteria and Clinical Outcomes of Adult Patients with Sepsis in the Intensive Care Unit. </w:t>
      </w:r>
      <w:r w:rsidRPr="00DA38DB">
        <w:rPr>
          <w:rFonts w:cs="Calibri"/>
          <w:i/>
          <w:iCs/>
          <w:noProof/>
          <w:sz w:val="20"/>
        </w:rPr>
        <w:t>Trop Med Infect Dis</w:t>
      </w:r>
      <w:r w:rsidRPr="00DA38DB">
        <w:rPr>
          <w:rFonts w:cs="Calibri"/>
          <w:noProof/>
          <w:sz w:val="20"/>
        </w:rPr>
        <w:t>. 2022;7(11):1-15. doi:10.3390/tropicalmed7110365</w:t>
      </w:r>
    </w:p>
    <w:p w14:paraId="2DF059F4"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16.</w:t>
      </w:r>
      <w:r w:rsidRPr="00DA38DB">
        <w:rPr>
          <w:rFonts w:cs="Calibri"/>
          <w:noProof/>
          <w:sz w:val="20"/>
        </w:rPr>
        <w:tab/>
        <w:t xml:space="preserve">Shrivastava P, Gothalwal R, Gandhi P. Therapeutic Strategies to Ameliorate Antibiotic Resistance and Host-Inflammation Response in Sepsis: an Innovative Approach. </w:t>
      </w:r>
      <w:r w:rsidRPr="00DA38DB">
        <w:rPr>
          <w:rFonts w:cs="Calibri"/>
          <w:i/>
          <w:iCs/>
          <w:noProof/>
          <w:sz w:val="20"/>
        </w:rPr>
        <w:t>Curr Clin Microbiol Reports</w:t>
      </w:r>
      <w:r w:rsidRPr="00DA38DB">
        <w:rPr>
          <w:rFonts w:cs="Calibri"/>
          <w:noProof/>
          <w:sz w:val="20"/>
        </w:rPr>
        <w:t>. 2023;10(3):85-98.</w:t>
      </w:r>
    </w:p>
    <w:p w14:paraId="78B79F2F"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17.</w:t>
      </w:r>
      <w:r w:rsidRPr="00DA38DB">
        <w:rPr>
          <w:rFonts w:cs="Calibri"/>
          <w:noProof/>
          <w:sz w:val="20"/>
        </w:rPr>
        <w:tab/>
        <w:t xml:space="preserve">Debela N, Nekahiwot S. Sepsis, Antimicrobial Resistance, and Alternative Therapies. </w:t>
      </w:r>
      <w:r w:rsidRPr="00DA38DB">
        <w:rPr>
          <w:rFonts w:cs="Calibri"/>
          <w:i/>
          <w:iCs/>
          <w:noProof/>
          <w:sz w:val="20"/>
        </w:rPr>
        <w:t>Am J Heal Res</w:t>
      </w:r>
      <w:r w:rsidRPr="00DA38DB">
        <w:rPr>
          <w:rFonts w:cs="Calibri"/>
          <w:noProof/>
          <w:sz w:val="20"/>
        </w:rPr>
        <w:t>. 2024;12(1):8-18. doi:10.11648/j.ajhr.20241201.12</w:t>
      </w:r>
    </w:p>
    <w:p w14:paraId="3762BB19"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18.</w:t>
      </w:r>
      <w:r w:rsidRPr="00DA38DB">
        <w:rPr>
          <w:rFonts w:cs="Calibri"/>
          <w:noProof/>
          <w:sz w:val="20"/>
        </w:rPr>
        <w:tab/>
        <w:t xml:space="preserve">Moore DP. Battling antimicrobial resistance: new guidance and insights. </w:t>
      </w:r>
      <w:r w:rsidRPr="00DA38DB">
        <w:rPr>
          <w:rFonts w:cs="Calibri"/>
          <w:i/>
          <w:iCs/>
          <w:noProof/>
          <w:sz w:val="20"/>
        </w:rPr>
        <w:t>Lancet Infect Dis</w:t>
      </w:r>
      <w:r w:rsidRPr="00DA38DB">
        <w:rPr>
          <w:rFonts w:cs="Calibri"/>
          <w:noProof/>
          <w:sz w:val="20"/>
        </w:rPr>
        <w:t>. 2025;25(9):957-958. doi:10.1016/S1473-3099(25)00150-1</w:t>
      </w:r>
    </w:p>
    <w:p w14:paraId="61B06CA5"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19.</w:t>
      </w:r>
      <w:r w:rsidRPr="00DA38DB">
        <w:rPr>
          <w:rFonts w:cs="Calibri"/>
          <w:noProof/>
          <w:sz w:val="20"/>
        </w:rPr>
        <w:tab/>
        <w:t xml:space="preserve">World Health Organnization. </w:t>
      </w:r>
      <w:r w:rsidRPr="00DA38DB">
        <w:rPr>
          <w:rFonts w:cs="Calibri"/>
          <w:i/>
          <w:iCs/>
          <w:noProof/>
          <w:sz w:val="20"/>
        </w:rPr>
        <w:t>Global Antibiotic Resistance Surveillance Report 2025</w:t>
      </w:r>
      <w:r w:rsidRPr="00DA38DB">
        <w:rPr>
          <w:rFonts w:cs="Calibri"/>
          <w:noProof/>
          <w:sz w:val="20"/>
        </w:rPr>
        <w:t>. 2025. doi:10.2471/b09585</w:t>
      </w:r>
    </w:p>
    <w:p w14:paraId="4844E97B"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20.</w:t>
      </w:r>
      <w:r w:rsidRPr="00DA38DB">
        <w:rPr>
          <w:rFonts w:cs="Calibri"/>
          <w:noProof/>
          <w:sz w:val="20"/>
        </w:rPr>
        <w:tab/>
        <w:t xml:space="preserve">Dülger D, Ture Z, Yolcu A, Eren EE, Sanlier N, Alp E. Sepsis in elderly patients: investigation of prognostic factors in a secondary healthcare facility. </w:t>
      </w:r>
      <w:r w:rsidRPr="00DA38DB">
        <w:rPr>
          <w:rFonts w:cs="Calibri"/>
          <w:i/>
          <w:iCs/>
          <w:noProof/>
          <w:sz w:val="20"/>
        </w:rPr>
        <w:t>BMC Infect Dis</w:t>
      </w:r>
      <w:r w:rsidRPr="00DA38DB">
        <w:rPr>
          <w:rFonts w:cs="Calibri"/>
          <w:noProof/>
          <w:sz w:val="20"/>
        </w:rPr>
        <w:t>. 2025;25(1). doi:10.1186/s12879-025-11286-7</w:t>
      </w:r>
    </w:p>
    <w:p w14:paraId="16BDF0F9"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21.</w:t>
      </w:r>
      <w:r w:rsidRPr="00DA38DB">
        <w:rPr>
          <w:rFonts w:cs="Calibri"/>
          <w:noProof/>
          <w:sz w:val="20"/>
        </w:rPr>
        <w:tab/>
        <w:t xml:space="preserve">Gabay O, Smadar-Shneyour R, Adi S, Boyko M, Binyamin Y, Novack V, Frenkel A. The Impact of Age on In-Hospital Mortality in Patients with Sepsis: Findings from a Nationwide Study. </w:t>
      </w:r>
      <w:r w:rsidRPr="00DA38DB">
        <w:rPr>
          <w:rFonts w:cs="Calibri"/>
          <w:i/>
          <w:iCs/>
          <w:noProof/>
          <w:sz w:val="20"/>
        </w:rPr>
        <w:t>J Clin Med</w:t>
      </w:r>
      <w:r w:rsidRPr="00DA38DB">
        <w:rPr>
          <w:rFonts w:cs="Calibri"/>
          <w:noProof/>
          <w:sz w:val="20"/>
        </w:rPr>
        <w:t>. 2025;14(21):1-10. doi:10.3390/jcm14217637</w:t>
      </w:r>
    </w:p>
    <w:p w14:paraId="0FD23968"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22.</w:t>
      </w:r>
      <w:r w:rsidRPr="00DA38DB">
        <w:rPr>
          <w:rFonts w:cs="Calibri"/>
          <w:noProof/>
          <w:sz w:val="20"/>
        </w:rPr>
        <w:tab/>
        <w:t xml:space="preserve">Low GKK, Harris K, Woodward M, Thompson KJ. Sex Differences in Risk Factors for Incident Sepsis Hospitalizations: A Prospective Cohort Study Using the UK Biobank. </w:t>
      </w:r>
      <w:r w:rsidRPr="00DA38DB">
        <w:rPr>
          <w:rFonts w:cs="Calibri"/>
          <w:i/>
          <w:iCs/>
          <w:noProof/>
          <w:sz w:val="20"/>
        </w:rPr>
        <w:t>J Infect Dis</w:t>
      </w:r>
      <w:r w:rsidRPr="00DA38DB">
        <w:rPr>
          <w:rFonts w:cs="Calibri"/>
          <w:noProof/>
          <w:sz w:val="20"/>
        </w:rPr>
        <w:t>. 2025;232(2):393-400. doi:10.1093/infdis/jiaf122</w:t>
      </w:r>
    </w:p>
    <w:p w14:paraId="0EF1000F"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23.</w:t>
      </w:r>
      <w:r w:rsidRPr="00DA38DB">
        <w:rPr>
          <w:rFonts w:cs="Calibri"/>
          <w:noProof/>
          <w:sz w:val="20"/>
        </w:rPr>
        <w:tab/>
        <w:t xml:space="preserve">Rose N, Agrama I, Nachtigall I, Pletz MW, Rosendahl J, Chung HY, Zielinski CE, Dudziak D, Spoden M, Dröge P, Hagel S, Fleischmann-Struzek C. Sex differences in sepsis outcomes across the lifespan: a population-based cohort study in Germany. </w:t>
      </w:r>
      <w:r w:rsidRPr="00DA38DB">
        <w:rPr>
          <w:rFonts w:cs="Calibri"/>
          <w:i/>
          <w:iCs/>
          <w:noProof/>
          <w:sz w:val="20"/>
        </w:rPr>
        <w:t>Crit Care</w:t>
      </w:r>
      <w:r w:rsidRPr="00DA38DB">
        <w:rPr>
          <w:rFonts w:cs="Calibri"/>
          <w:noProof/>
          <w:sz w:val="20"/>
        </w:rPr>
        <w:t>. 2025;29(1). doi:10.1186/s13054-025-05657-4</w:t>
      </w:r>
    </w:p>
    <w:p w14:paraId="4E9BF88B"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24.</w:t>
      </w:r>
      <w:r w:rsidRPr="00DA38DB">
        <w:rPr>
          <w:rFonts w:cs="Calibri"/>
          <w:noProof/>
          <w:sz w:val="20"/>
        </w:rPr>
        <w:tab/>
        <w:t xml:space="preserve">Min SY, Yong HJ, Kim D. Sex or gender differences in treatment outcomes of sepsis and septic shock. </w:t>
      </w:r>
      <w:r w:rsidRPr="00DA38DB">
        <w:rPr>
          <w:rFonts w:cs="Calibri"/>
          <w:i/>
          <w:iCs/>
          <w:noProof/>
          <w:sz w:val="20"/>
        </w:rPr>
        <w:t>Acute Crit Care</w:t>
      </w:r>
      <w:r w:rsidRPr="00DA38DB">
        <w:rPr>
          <w:rFonts w:cs="Calibri"/>
          <w:noProof/>
          <w:sz w:val="20"/>
        </w:rPr>
        <w:t>. 2024;39(2):207-213. doi:10.4266/acc.2024.00591</w:t>
      </w:r>
    </w:p>
    <w:p w14:paraId="509AD612"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25.</w:t>
      </w:r>
      <w:r w:rsidRPr="00DA38DB">
        <w:rPr>
          <w:rFonts w:cs="Calibri"/>
          <w:noProof/>
          <w:sz w:val="20"/>
        </w:rPr>
        <w:tab/>
        <w:t xml:space="preserve">Tanha N, Lejbman IA, De Bus L, De Pascale G, Garnacho-Montero J, Leone M, Fujitan S, De Waele JJ, Torisson G, Sjövall F. Clinical outcomes in combination versus mono antibiotic therapy in ICU admitted patients with a suspected infection-A substudy of the DIANA study. </w:t>
      </w:r>
      <w:r w:rsidRPr="00DA38DB">
        <w:rPr>
          <w:rFonts w:cs="Calibri"/>
          <w:i/>
          <w:iCs/>
          <w:noProof/>
          <w:sz w:val="20"/>
        </w:rPr>
        <w:t>J Crit Care</w:t>
      </w:r>
      <w:r w:rsidRPr="00DA38DB">
        <w:rPr>
          <w:rFonts w:cs="Calibri"/>
          <w:noProof/>
          <w:sz w:val="20"/>
        </w:rPr>
        <w:t>. 2024;80:154501.</w:t>
      </w:r>
    </w:p>
    <w:p w14:paraId="5F1347C1"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26.</w:t>
      </w:r>
      <w:r w:rsidRPr="00DA38DB">
        <w:rPr>
          <w:rFonts w:cs="Calibri"/>
          <w:noProof/>
          <w:sz w:val="20"/>
        </w:rPr>
        <w:tab/>
        <w:t xml:space="preserve">De Bus L, Arvaniti K, Sjövall F. Empirical antimicrobials in the intensive care unit. </w:t>
      </w:r>
      <w:r w:rsidRPr="00DA38DB">
        <w:rPr>
          <w:rFonts w:cs="Calibri"/>
          <w:i/>
          <w:iCs/>
          <w:noProof/>
          <w:sz w:val="20"/>
        </w:rPr>
        <w:t>Intensive Care Med</w:t>
      </w:r>
      <w:r w:rsidRPr="00DA38DB">
        <w:rPr>
          <w:rFonts w:cs="Calibri"/>
          <w:noProof/>
          <w:sz w:val="20"/>
        </w:rPr>
        <w:t>. 2024;50(8):1338-1341. doi:10.1007/s00134-024-07453-0</w:t>
      </w:r>
    </w:p>
    <w:p w14:paraId="01B4A171"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27.</w:t>
      </w:r>
      <w:r w:rsidRPr="00DA38DB">
        <w:rPr>
          <w:rFonts w:cs="Calibri"/>
          <w:noProof/>
          <w:sz w:val="20"/>
        </w:rPr>
        <w:tab/>
        <w:t xml:space="preserve">Heffernan AJ, Sime FB, Sun J, Lipman J, Kumar A, Andrews K, Ellwood D, Grimwood K, Roberts J. β-lactam antibiotic versus combined β-lactam antibiotics and single daily dosing regimens of aminoglycosides for treating </w:t>
      </w:r>
      <w:r w:rsidRPr="00DA38DB">
        <w:rPr>
          <w:rFonts w:cs="Calibri"/>
          <w:noProof/>
          <w:sz w:val="20"/>
        </w:rPr>
        <w:lastRenderedPageBreak/>
        <w:t xml:space="preserve">serious infections: A meta-analysis. </w:t>
      </w:r>
      <w:r w:rsidRPr="00DA38DB">
        <w:rPr>
          <w:rFonts w:cs="Calibri"/>
          <w:i/>
          <w:iCs/>
          <w:noProof/>
          <w:sz w:val="20"/>
        </w:rPr>
        <w:t>Int J Antimicrob Agents</w:t>
      </w:r>
      <w:r w:rsidRPr="00DA38DB">
        <w:rPr>
          <w:rFonts w:cs="Calibri"/>
          <w:noProof/>
          <w:sz w:val="20"/>
        </w:rPr>
        <w:t>. 2020;55(3):105839. doi:https://doi.org/10.1016/j.ijantimicag.2019.10.020</w:t>
      </w:r>
    </w:p>
    <w:p w14:paraId="09A215DD"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28.</w:t>
      </w:r>
      <w:r w:rsidRPr="00DA38DB">
        <w:rPr>
          <w:rFonts w:cs="Calibri"/>
          <w:noProof/>
          <w:sz w:val="20"/>
        </w:rPr>
        <w:tab/>
        <w:t xml:space="preserve">Strich JR, Heil EL, Masur H. Considerations for Empiric Antimicrobial Therapy in Sepsis and Septic Shock in an Era of Antimicrobial Resistance. </w:t>
      </w:r>
      <w:r w:rsidRPr="00DA38DB">
        <w:rPr>
          <w:rFonts w:cs="Calibri"/>
          <w:i/>
          <w:iCs/>
          <w:noProof/>
          <w:sz w:val="20"/>
        </w:rPr>
        <w:t>J Infect Dis</w:t>
      </w:r>
      <w:r w:rsidRPr="00DA38DB">
        <w:rPr>
          <w:rFonts w:cs="Calibri"/>
          <w:noProof/>
          <w:sz w:val="20"/>
        </w:rPr>
        <w:t>. 2020;222(Supplement_2):S119-S131. doi:10.1093/infdis/jiaa221</w:t>
      </w:r>
    </w:p>
    <w:p w14:paraId="2A2D8067"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29.</w:t>
      </w:r>
      <w:r w:rsidRPr="00DA38DB">
        <w:rPr>
          <w:rFonts w:cs="Calibri"/>
          <w:noProof/>
          <w:sz w:val="20"/>
        </w:rPr>
        <w:tab/>
        <w:t xml:space="preserve">Chen X, Liu X, Ren W, Li H, Yang S. Distribution patterns and evolution of antimicrobial resistance in Gram-negative bacteria within the intensive care unit of a tertiary hospital from 2019 to 2024. </w:t>
      </w:r>
      <w:r w:rsidRPr="00DA38DB">
        <w:rPr>
          <w:rFonts w:cs="Calibri"/>
          <w:i/>
          <w:iCs/>
          <w:noProof/>
          <w:sz w:val="20"/>
        </w:rPr>
        <w:t>Front Microbiol</w:t>
      </w:r>
      <w:r w:rsidRPr="00DA38DB">
        <w:rPr>
          <w:rFonts w:cs="Calibri"/>
          <w:noProof/>
          <w:sz w:val="20"/>
        </w:rPr>
        <w:t>. 2025;16:1587132.</w:t>
      </w:r>
    </w:p>
    <w:p w14:paraId="2EA3B3F8"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30.</w:t>
      </w:r>
      <w:r w:rsidRPr="00DA38DB">
        <w:rPr>
          <w:rFonts w:cs="Calibri"/>
          <w:noProof/>
          <w:sz w:val="20"/>
        </w:rPr>
        <w:tab/>
        <w:t xml:space="preserve">Calvo M, Stefani S, Migliorisi G. Bacterial infections in Intensive Care units: epidemiological and microbiological aspects. </w:t>
      </w:r>
      <w:r w:rsidRPr="00DA38DB">
        <w:rPr>
          <w:rFonts w:cs="Calibri"/>
          <w:i/>
          <w:iCs/>
          <w:noProof/>
          <w:sz w:val="20"/>
        </w:rPr>
        <w:t>Antibiotics</w:t>
      </w:r>
      <w:r w:rsidRPr="00DA38DB">
        <w:rPr>
          <w:rFonts w:cs="Calibri"/>
          <w:noProof/>
          <w:sz w:val="20"/>
        </w:rPr>
        <w:t>. 2024;13(3):238.</w:t>
      </w:r>
    </w:p>
    <w:p w14:paraId="593C0367"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31.</w:t>
      </w:r>
      <w:r w:rsidRPr="00DA38DB">
        <w:rPr>
          <w:rFonts w:cs="Calibri"/>
          <w:noProof/>
          <w:sz w:val="20"/>
        </w:rPr>
        <w:tab/>
        <w:t xml:space="preserve">Trejnowska E, Deptuła A, Tarczyńska-Słomian M, Knapik P, Jankowski M, Misiewska-Kaczur A, Tamowicz B, Śmiechowicz J, Antończyk R, Armatowicz P, Sułkowski W, Durek G. Surveillance of Antibiotic Prescribing in Intensive Care Units in Poland. </w:t>
      </w:r>
      <w:r w:rsidRPr="00DA38DB">
        <w:rPr>
          <w:rFonts w:cs="Calibri"/>
          <w:i/>
          <w:iCs/>
          <w:noProof/>
          <w:sz w:val="20"/>
        </w:rPr>
        <w:t>Can J Infect Dis Med Microbiol</w:t>
      </w:r>
      <w:r w:rsidRPr="00DA38DB">
        <w:rPr>
          <w:rFonts w:cs="Calibri"/>
          <w:noProof/>
          <w:sz w:val="20"/>
        </w:rPr>
        <w:t>. 2018;2018. doi:10.1155/2018/5670238</w:t>
      </w:r>
    </w:p>
    <w:p w14:paraId="6E5B617E"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32.</w:t>
      </w:r>
      <w:r w:rsidRPr="00DA38DB">
        <w:rPr>
          <w:rFonts w:cs="Calibri"/>
          <w:noProof/>
          <w:sz w:val="20"/>
        </w:rPr>
        <w:tab/>
        <w:t xml:space="preserve">Lester R, Musicha P, Van Ginneken N, Dramowski A, Hamer DH, Garner P, Feasey NA. Prevalence and outcome of bloodstream infections due to third-generation cephalosporin-resistant Enterobacteriaceae in sub-Saharan Africa: a systematic review. </w:t>
      </w:r>
      <w:r w:rsidRPr="00DA38DB">
        <w:rPr>
          <w:rFonts w:cs="Calibri"/>
          <w:i/>
          <w:iCs/>
          <w:noProof/>
          <w:sz w:val="20"/>
        </w:rPr>
        <w:t>J Antimicrob Chemother</w:t>
      </w:r>
      <w:r w:rsidRPr="00DA38DB">
        <w:rPr>
          <w:rFonts w:cs="Calibri"/>
          <w:noProof/>
          <w:sz w:val="20"/>
        </w:rPr>
        <w:t>. 2020;75(3):492-507.</w:t>
      </w:r>
    </w:p>
    <w:p w14:paraId="42B8037A"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33.</w:t>
      </w:r>
      <w:r w:rsidRPr="00DA38DB">
        <w:rPr>
          <w:rFonts w:cs="Calibri"/>
          <w:noProof/>
          <w:sz w:val="20"/>
        </w:rPr>
        <w:tab/>
        <w:t xml:space="preserve">Lester R, Musicha P, Kawaza K, Langton J, Mango J, Mangochi H, Bakali W, Pearse O, Mallewa J, Denis B, Bilima S, Gordon SB, Lalloo DG, Jewell CP, Feasey NA. Effect of resistance to third-generation cephalosporins on morbidity and mortality from bloodstream infections in Blantyre, Malawi: a prospective cohort study. </w:t>
      </w:r>
      <w:r w:rsidRPr="00DA38DB">
        <w:rPr>
          <w:rFonts w:cs="Calibri"/>
          <w:i/>
          <w:iCs/>
          <w:noProof/>
          <w:sz w:val="20"/>
        </w:rPr>
        <w:t>The Lancet Microbe</w:t>
      </w:r>
      <w:r w:rsidRPr="00DA38DB">
        <w:rPr>
          <w:rFonts w:cs="Calibri"/>
          <w:noProof/>
          <w:sz w:val="20"/>
        </w:rPr>
        <w:t>. 2022;3(12):e922-e930. doi:10.1016/S2666-5247(22)00282-8</w:t>
      </w:r>
    </w:p>
    <w:p w14:paraId="286A3DF5"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34.</w:t>
      </w:r>
      <w:r w:rsidRPr="00DA38DB">
        <w:rPr>
          <w:rFonts w:cs="Calibri"/>
          <w:noProof/>
          <w:sz w:val="20"/>
        </w:rPr>
        <w:tab/>
        <w:t xml:space="preserve">Vossius G, Meex C, Moerman F, Thys M, Ernst M, Bourgeois ME, Wagner L, Delahaye T, Darcis G. Clinical Outcomes of Third-Generation Cephalosporin Definitive Therapy for Bloodstream Infections Due to Enterobacterales with Potential AmpC Induction: A Single-Center Retrospective Study. </w:t>
      </w:r>
      <w:r w:rsidRPr="00DA38DB">
        <w:rPr>
          <w:rFonts w:cs="Calibri"/>
          <w:i/>
          <w:iCs/>
          <w:noProof/>
          <w:sz w:val="20"/>
        </w:rPr>
        <w:t>Pathogens</w:t>
      </w:r>
      <w:r w:rsidRPr="00DA38DB">
        <w:rPr>
          <w:rFonts w:cs="Calibri"/>
          <w:noProof/>
          <w:sz w:val="20"/>
        </w:rPr>
        <w:t>. 2023;12(9):1152.</w:t>
      </w:r>
    </w:p>
    <w:p w14:paraId="0ED7A34B"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35.</w:t>
      </w:r>
      <w:r w:rsidRPr="00DA38DB">
        <w:rPr>
          <w:rFonts w:cs="Calibri"/>
          <w:noProof/>
          <w:sz w:val="20"/>
        </w:rPr>
        <w:tab/>
        <w:t xml:space="preserve">Totté JE, Quiblier C, Nolte O, Hinic V, Wunderink HF, Egli A, Mancini S. Phenotypic susceptibility profiles of AmpC-and/or extended-spectrum beta-lactamase-(co) producing Escherichia coli strains. </w:t>
      </w:r>
      <w:r w:rsidRPr="00DA38DB">
        <w:rPr>
          <w:rFonts w:cs="Calibri"/>
          <w:i/>
          <w:iCs/>
          <w:noProof/>
          <w:sz w:val="20"/>
        </w:rPr>
        <w:t>JAC-Antimicrobial Resist</w:t>
      </w:r>
      <w:r w:rsidRPr="00DA38DB">
        <w:rPr>
          <w:rFonts w:cs="Calibri"/>
          <w:noProof/>
          <w:sz w:val="20"/>
        </w:rPr>
        <w:t>. 2025;7(3):dlaf091.</w:t>
      </w:r>
    </w:p>
    <w:p w14:paraId="01A02C12"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36.</w:t>
      </w:r>
      <w:r w:rsidRPr="00DA38DB">
        <w:rPr>
          <w:rFonts w:cs="Calibri"/>
          <w:noProof/>
          <w:sz w:val="20"/>
        </w:rPr>
        <w:tab/>
        <w:t xml:space="preserve">Tebano G, Zaghi I, Cricca M, Cristini F. Antibiotic treatment of infections caused by AmpC-producing Enterobacterales. </w:t>
      </w:r>
      <w:r w:rsidRPr="00DA38DB">
        <w:rPr>
          <w:rFonts w:cs="Calibri"/>
          <w:i/>
          <w:iCs/>
          <w:noProof/>
          <w:sz w:val="20"/>
        </w:rPr>
        <w:t>Pharmacy</w:t>
      </w:r>
      <w:r w:rsidRPr="00DA38DB">
        <w:rPr>
          <w:rFonts w:cs="Calibri"/>
          <w:noProof/>
          <w:sz w:val="20"/>
        </w:rPr>
        <w:t>. 2024;12(5):142.</w:t>
      </w:r>
    </w:p>
    <w:p w14:paraId="78C76E60"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37.</w:t>
      </w:r>
      <w:r w:rsidRPr="00DA38DB">
        <w:rPr>
          <w:rFonts w:cs="Calibri"/>
          <w:noProof/>
          <w:sz w:val="20"/>
        </w:rPr>
        <w:tab/>
        <w:t xml:space="preserve">Hixon AM, Micek S, Fraser VJ, Kollef M, Guillamet MCV. Impact of Gram-Negative Bacilli Resistance Rates on Risk of Death in Septic Shock and Pneumonia. In: </w:t>
      </w:r>
      <w:r w:rsidRPr="00DA38DB">
        <w:rPr>
          <w:rFonts w:cs="Calibri"/>
          <w:i/>
          <w:iCs/>
          <w:noProof/>
          <w:sz w:val="20"/>
        </w:rPr>
        <w:t>Open Forum Infectious Diseases</w:t>
      </w:r>
      <w:r w:rsidRPr="00DA38DB">
        <w:rPr>
          <w:rFonts w:cs="Calibri"/>
          <w:noProof/>
          <w:sz w:val="20"/>
        </w:rPr>
        <w:t>. Vol 11. Oxford University Press US; 2024:ofae219.</w:t>
      </w:r>
    </w:p>
    <w:p w14:paraId="15E24FCA"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38.</w:t>
      </w:r>
      <w:r w:rsidRPr="00DA38DB">
        <w:rPr>
          <w:rFonts w:cs="Calibri"/>
          <w:noProof/>
          <w:sz w:val="20"/>
        </w:rPr>
        <w:tab/>
        <w:t xml:space="preserve">Niederman MS, Baron RM, Bouadma L, Calandra T, Daneman N, DeWaele J, Kollef MH, Lipman J, Nair GB. Initial antimicrobial management of sepsis. </w:t>
      </w:r>
      <w:r w:rsidRPr="00DA38DB">
        <w:rPr>
          <w:rFonts w:cs="Calibri"/>
          <w:i/>
          <w:iCs/>
          <w:noProof/>
          <w:sz w:val="20"/>
        </w:rPr>
        <w:t>Crit Care</w:t>
      </w:r>
      <w:r w:rsidRPr="00DA38DB">
        <w:rPr>
          <w:rFonts w:cs="Calibri"/>
          <w:noProof/>
          <w:sz w:val="20"/>
        </w:rPr>
        <w:t>. 2021;25(1):307. doi:10.1186/s13054-021-03736-w</w:t>
      </w:r>
    </w:p>
    <w:p w14:paraId="261BC197"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39.</w:t>
      </w:r>
      <w:r w:rsidRPr="00DA38DB">
        <w:rPr>
          <w:rFonts w:cs="Calibri"/>
          <w:noProof/>
          <w:sz w:val="20"/>
        </w:rPr>
        <w:tab/>
        <w:t xml:space="preserve">Aiken AM, Rehman AM, de Kraker MEA, Madrid L, Kebede M, Labi AK, Obeng-Nkrumah N, Nyamwaya B, Kagucia E, Cocker D. Mortality associated with third-generation cephalosporin resistance in Enterobacterales bloodstream infections at eight sub-Saharan African hospitals (MBIRA): a prospective cohort study. </w:t>
      </w:r>
      <w:r w:rsidRPr="00DA38DB">
        <w:rPr>
          <w:rFonts w:cs="Calibri"/>
          <w:i/>
          <w:iCs/>
          <w:noProof/>
          <w:sz w:val="20"/>
        </w:rPr>
        <w:t>Lancet Infect Dis</w:t>
      </w:r>
      <w:r w:rsidRPr="00DA38DB">
        <w:rPr>
          <w:rFonts w:cs="Calibri"/>
          <w:noProof/>
          <w:sz w:val="20"/>
        </w:rPr>
        <w:t>. 2023;23(11):1280-1290.</w:t>
      </w:r>
    </w:p>
    <w:p w14:paraId="11DE8318" w14:textId="77777777" w:rsidR="00DA38DB" w:rsidRPr="00DA38DB" w:rsidRDefault="00DA38DB" w:rsidP="002210A8">
      <w:pPr>
        <w:widowControl w:val="0"/>
        <w:autoSpaceDE w:val="0"/>
        <w:autoSpaceDN w:val="0"/>
        <w:adjustRightInd w:val="0"/>
        <w:spacing w:after="60" w:line="240" w:lineRule="auto"/>
        <w:ind w:left="640" w:hanging="640"/>
        <w:jc w:val="both"/>
        <w:rPr>
          <w:rFonts w:cs="Calibri"/>
          <w:noProof/>
          <w:sz w:val="20"/>
        </w:rPr>
      </w:pPr>
      <w:r w:rsidRPr="00DA38DB">
        <w:rPr>
          <w:rFonts w:cs="Calibri"/>
          <w:noProof/>
          <w:sz w:val="20"/>
        </w:rPr>
        <w:t>40.</w:t>
      </w:r>
      <w:r w:rsidRPr="00DA38DB">
        <w:rPr>
          <w:rFonts w:cs="Calibri"/>
          <w:noProof/>
          <w:sz w:val="20"/>
        </w:rPr>
        <w:tab/>
        <w:t xml:space="preserve">Andrade C. Sample size and its importance in research. </w:t>
      </w:r>
      <w:r w:rsidRPr="00DA38DB">
        <w:rPr>
          <w:rFonts w:cs="Calibri"/>
          <w:i/>
          <w:iCs/>
          <w:noProof/>
          <w:sz w:val="20"/>
        </w:rPr>
        <w:t>Indian J Psychol Med</w:t>
      </w:r>
      <w:r w:rsidRPr="00DA38DB">
        <w:rPr>
          <w:rFonts w:cs="Calibri"/>
          <w:noProof/>
          <w:sz w:val="20"/>
        </w:rPr>
        <w:t>. 2020;42(1):102-103.</w:t>
      </w:r>
    </w:p>
    <w:p w14:paraId="53D76E8D" w14:textId="2F2C5ABA" w:rsidR="00AC33F5" w:rsidRPr="00AC33F5" w:rsidRDefault="00AC33F5" w:rsidP="002210A8">
      <w:pPr>
        <w:spacing w:after="60" w:line="240" w:lineRule="auto"/>
        <w:ind w:hanging="356"/>
        <w:jc w:val="both"/>
        <w:rPr>
          <w:rFonts w:asciiTheme="minorHAnsi" w:hAnsiTheme="minorHAnsi" w:cstheme="minorHAnsi"/>
          <w:b/>
          <w:sz w:val="20"/>
          <w:szCs w:val="20"/>
        </w:rPr>
        <w:sectPr w:rsidR="00AC33F5" w:rsidRPr="00AC33F5" w:rsidSect="00EA2DCC">
          <w:type w:val="continuous"/>
          <w:pgSz w:w="11906" w:h="16838"/>
          <w:pgMar w:top="1134" w:right="1134" w:bottom="1134" w:left="1134" w:header="288" w:footer="0" w:gutter="0"/>
          <w:cols w:space="282"/>
          <w:titlePg/>
          <w:docGrid w:linePitch="360"/>
        </w:sectPr>
      </w:pPr>
      <w:r w:rsidRPr="00C94A70">
        <w:rPr>
          <w:rFonts w:asciiTheme="minorHAnsi" w:hAnsiTheme="minorHAnsi" w:cstheme="minorHAnsi"/>
          <w:b/>
          <w:sz w:val="20"/>
          <w:szCs w:val="20"/>
        </w:rPr>
        <w:fldChar w:fldCharType="end"/>
      </w:r>
    </w:p>
    <w:p w14:paraId="53DA2D88" w14:textId="4D580B84" w:rsidR="00DF1190" w:rsidRPr="00F075F0" w:rsidRDefault="00DF1190" w:rsidP="004B595E">
      <w:pPr>
        <w:spacing w:after="60" w:line="240" w:lineRule="auto"/>
        <w:jc w:val="both"/>
        <w:rPr>
          <w:rFonts w:asciiTheme="minorHAnsi" w:hAnsiTheme="minorHAnsi" w:cstheme="minorHAnsi"/>
          <w:b/>
          <w:bCs/>
          <w:sz w:val="24"/>
          <w:szCs w:val="24"/>
        </w:rPr>
      </w:pPr>
    </w:p>
    <w:sectPr w:rsidR="00DF1190" w:rsidRPr="00F075F0" w:rsidSect="00EA2DCC">
      <w:type w:val="continuous"/>
      <w:pgSz w:w="11906" w:h="16838"/>
      <w:pgMar w:top="1134" w:right="1134" w:bottom="1134" w:left="1134" w:header="288" w:footer="0" w:gutter="0"/>
      <w:cols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C30FA" w14:textId="77777777" w:rsidR="00AB3C39" w:rsidRPr="0048469E" w:rsidRDefault="00AB3C39" w:rsidP="006C664D">
      <w:pPr>
        <w:spacing w:after="0" w:line="240" w:lineRule="auto"/>
      </w:pPr>
      <w:r w:rsidRPr="0048469E">
        <w:separator/>
      </w:r>
    </w:p>
  </w:endnote>
  <w:endnote w:type="continuationSeparator" w:id="0">
    <w:p w14:paraId="03CF2122" w14:textId="77777777" w:rsidR="00AB3C39" w:rsidRPr="0048469E" w:rsidRDefault="00AB3C39" w:rsidP="006C664D">
      <w:pPr>
        <w:spacing w:after="0" w:line="240" w:lineRule="auto"/>
      </w:pPr>
      <w:r w:rsidRPr="004846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22186"/>
      <w:docPartObj>
        <w:docPartGallery w:val="Page Numbers (Top of Page)"/>
        <w:docPartUnique/>
      </w:docPartObj>
    </w:sdtPr>
    <w:sdtEndPr>
      <w:rPr>
        <w:sz w:val="18"/>
        <w:szCs w:val="18"/>
      </w:rPr>
    </w:sdtEndPr>
    <w:sdtContent>
      <w:p w14:paraId="172DF752" w14:textId="77777777" w:rsidR="005F09D3" w:rsidRPr="0048469E" w:rsidRDefault="005F09D3" w:rsidP="003B0112">
        <w:pPr>
          <w:pBdr>
            <w:bottom w:val="single" w:sz="12" w:space="1" w:color="auto"/>
          </w:pBdr>
          <w:tabs>
            <w:tab w:val="center" w:pos="2835"/>
            <w:tab w:val="right" w:pos="9360"/>
          </w:tabs>
          <w:spacing w:after="0" w:line="240" w:lineRule="auto"/>
          <w:jc w:val="center"/>
          <w:rPr>
            <w:b/>
            <w:sz w:val="20"/>
            <w:lang w:eastAsia="en-AU"/>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950"/>
        </w:tblGrid>
        <w:tr w:rsidR="005F09D3" w:rsidRPr="0048469E" w14:paraId="1E902C15" w14:textId="77777777" w:rsidTr="008C4C96">
          <w:tc>
            <w:tcPr>
              <w:tcW w:w="4770" w:type="dxa"/>
            </w:tcPr>
            <w:p w14:paraId="5975CCA5" w14:textId="5B9C82D7" w:rsidR="005F09D3" w:rsidRPr="0048469E" w:rsidRDefault="005F09D3" w:rsidP="003B0112">
              <w:pPr>
                <w:tabs>
                  <w:tab w:val="center" w:pos="4680"/>
                  <w:tab w:val="right" w:pos="9360"/>
                </w:tabs>
                <w:spacing w:after="0" w:line="240" w:lineRule="auto"/>
                <w:rPr>
                  <w:bCs/>
                  <w:sz w:val="20"/>
                  <w:szCs w:val="20"/>
                  <w:lang w:eastAsia="en-AU"/>
                </w:rPr>
              </w:pPr>
              <w:r w:rsidRPr="0048469E">
                <w:rPr>
                  <w:bCs/>
                  <w:sz w:val="20"/>
                  <w:szCs w:val="20"/>
                  <w:lang w:eastAsia="en-AU"/>
                </w:rPr>
                <w:fldChar w:fldCharType="begin"/>
              </w:r>
              <w:r w:rsidRPr="0048469E">
                <w:rPr>
                  <w:bCs/>
                  <w:sz w:val="20"/>
                  <w:szCs w:val="20"/>
                  <w:lang w:eastAsia="en-AU"/>
                </w:rPr>
                <w:instrText xml:space="preserve"> PAGE   \* MERGEFORMAT </w:instrText>
              </w:r>
              <w:r w:rsidRPr="0048469E">
                <w:rPr>
                  <w:bCs/>
                  <w:sz w:val="20"/>
                  <w:szCs w:val="20"/>
                  <w:lang w:eastAsia="en-AU"/>
                </w:rPr>
                <w:fldChar w:fldCharType="separate"/>
              </w:r>
              <w:r w:rsidR="00D77478">
                <w:rPr>
                  <w:bCs/>
                  <w:noProof/>
                  <w:sz w:val="20"/>
                  <w:szCs w:val="20"/>
                  <w:lang w:eastAsia="en-AU"/>
                </w:rPr>
                <w:t>10</w:t>
              </w:r>
              <w:r w:rsidRPr="0048469E">
                <w:rPr>
                  <w:bCs/>
                  <w:sz w:val="20"/>
                  <w:szCs w:val="20"/>
                  <w:lang w:eastAsia="en-AU"/>
                </w:rPr>
                <w:fldChar w:fldCharType="end"/>
              </w:r>
            </w:p>
          </w:tc>
          <w:tc>
            <w:tcPr>
              <w:tcW w:w="4950" w:type="dxa"/>
            </w:tcPr>
            <w:p w14:paraId="1738B733" w14:textId="3B160CB5" w:rsidR="005F09D3" w:rsidRPr="0048469E" w:rsidRDefault="005F09D3" w:rsidP="003B0112">
              <w:pPr>
                <w:pStyle w:val="Footer"/>
                <w:jc w:val="right"/>
                <w:rPr>
                  <w:sz w:val="20"/>
                  <w:szCs w:val="20"/>
                </w:rPr>
              </w:pPr>
              <w:r w:rsidRPr="0048469E">
                <w:rPr>
                  <w:b/>
                  <w:sz w:val="20"/>
                  <w:szCs w:val="20"/>
                  <w:lang w:eastAsia="en-AU"/>
                </w:rPr>
                <w:t xml:space="preserve">Jurnal Ilmiah Medicamento </w:t>
              </w:r>
              <w:r w:rsidRPr="0048469E">
                <w:rPr>
                  <w:sz w:val="20"/>
                  <w:szCs w:val="20"/>
                  <w:lang w:eastAsia="en-AU"/>
                </w:rPr>
                <w:t xml:space="preserve">• </w:t>
              </w:r>
              <w:r w:rsidRPr="00DC0A7A">
                <w:rPr>
                  <w:iCs/>
                  <w:sz w:val="20"/>
                  <w:szCs w:val="20"/>
                  <w:lang w:eastAsia="en-AU"/>
                </w:rPr>
                <w:t>Vol.</w:t>
              </w:r>
              <w:r w:rsidR="00DC0A7A">
                <w:rPr>
                  <w:iCs/>
                  <w:sz w:val="20"/>
                  <w:szCs w:val="20"/>
                  <w:lang w:eastAsia="en-AU"/>
                </w:rPr>
                <w:t>12</w:t>
              </w:r>
              <w:r w:rsidRPr="00DC0A7A">
                <w:rPr>
                  <w:iCs/>
                  <w:sz w:val="20"/>
                  <w:szCs w:val="20"/>
                  <w:lang w:eastAsia="en-AU"/>
                </w:rPr>
                <w:t xml:space="preserve"> No.</w:t>
              </w:r>
              <w:r w:rsidR="00DC0A7A">
                <w:rPr>
                  <w:iCs/>
                  <w:sz w:val="20"/>
                  <w:szCs w:val="20"/>
                  <w:lang w:eastAsia="en-AU"/>
                </w:rPr>
                <w:t>1</w:t>
              </w:r>
              <w:r w:rsidRPr="0048469E">
                <w:rPr>
                  <w:i/>
                  <w:sz w:val="20"/>
                  <w:szCs w:val="20"/>
                  <w:lang w:eastAsia="en-AU"/>
                </w:rPr>
                <w:t xml:space="preserve"> </w:t>
              </w:r>
              <w:r w:rsidRPr="0048469E">
                <w:rPr>
                  <w:sz w:val="20"/>
                  <w:szCs w:val="20"/>
                  <w:lang w:eastAsia="en-AU"/>
                </w:rPr>
                <w:t>• 2026</w:t>
              </w:r>
            </w:p>
            <w:p w14:paraId="75D8F086" w14:textId="77777777" w:rsidR="005F09D3" w:rsidRPr="0048469E" w:rsidRDefault="005F09D3" w:rsidP="003B0112">
              <w:pPr>
                <w:pStyle w:val="Footer"/>
                <w:jc w:val="right"/>
                <w:rPr>
                  <w:sz w:val="18"/>
                  <w:szCs w:val="18"/>
                </w:rPr>
              </w:pPr>
              <w:hyperlink r:id="rId1" w:history="1">
                <w:r w:rsidRPr="0048469E">
                  <w:rPr>
                    <w:rStyle w:val="Hyperlink"/>
                    <w:sz w:val="20"/>
                    <w:szCs w:val="20"/>
                  </w:rPr>
                  <w:t>https://medicamento.unmas.ac.id</w:t>
                </w:r>
              </w:hyperlink>
            </w:p>
          </w:tc>
        </w:tr>
      </w:tbl>
      <w:p w14:paraId="1BF7EE95" w14:textId="77777777" w:rsidR="005F09D3" w:rsidRPr="0048469E" w:rsidRDefault="00000000" w:rsidP="003B0112">
        <w:pPr>
          <w:pStyle w:val="Footer"/>
          <w:rPr>
            <w:sz w:val="18"/>
            <w:szCs w:val="18"/>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9001247"/>
      <w:docPartObj>
        <w:docPartGallery w:val="Page Numbers (Top of Page)"/>
        <w:docPartUnique/>
      </w:docPartObj>
    </w:sdtPr>
    <w:sdtEndPr>
      <w:rPr>
        <w:sz w:val="18"/>
        <w:szCs w:val="18"/>
      </w:rPr>
    </w:sdtEndPr>
    <w:sdtContent>
      <w:p w14:paraId="77A854AB" w14:textId="77777777" w:rsidR="005F09D3" w:rsidRPr="0048469E" w:rsidRDefault="005F09D3" w:rsidP="003B0112">
        <w:pPr>
          <w:pBdr>
            <w:bottom w:val="single" w:sz="12" w:space="1" w:color="auto"/>
          </w:pBdr>
          <w:tabs>
            <w:tab w:val="center" w:pos="2835"/>
            <w:tab w:val="right" w:pos="9360"/>
          </w:tabs>
          <w:spacing w:after="0" w:line="240" w:lineRule="auto"/>
          <w:jc w:val="center"/>
          <w:rPr>
            <w:b/>
            <w:sz w:val="20"/>
            <w:szCs w:val="20"/>
            <w:lang w:eastAsia="en-AU"/>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770"/>
        </w:tblGrid>
        <w:tr w:rsidR="005F09D3" w:rsidRPr="0048469E" w14:paraId="4317C833" w14:textId="77777777" w:rsidTr="008C4C96">
          <w:tc>
            <w:tcPr>
              <w:tcW w:w="4950" w:type="dxa"/>
            </w:tcPr>
            <w:p w14:paraId="0FC52C1F" w14:textId="64C02058" w:rsidR="005F09D3" w:rsidRPr="00323CB7" w:rsidRDefault="005F09D3" w:rsidP="003B0112">
              <w:pPr>
                <w:pStyle w:val="Footer"/>
                <w:rPr>
                  <w:sz w:val="20"/>
                  <w:szCs w:val="20"/>
                </w:rPr>
              </w:pPr>
              <w:r w:rsidRPr="00323CB7">
                <w:rPr>
                  <w:b/>
                  <w:sz w:val="20"/>
                  <w:szCs w:val="20"/>
                  <w:lang w:eastAsia="en-AU"/>
                </w:rPr>
                <w:t xml:space="preserve">Jurnal Ilmiah Medicamento </w:t>
              </w:r>
              <w:r w:rsidRPr="00323CB7">
                <w:rPr>
                  <w:sz w:val="20"/>
                  <w:szCs w:val="20"/>
                  <w:lang w:eastAsia="en-AU"/>
                </w:rPr>
                <w:t>• Vol.</w:t>
              </w:r>
              <w:r w:rsidR="00323CB7">
                <w:rPr>
                  <w:sz w:val="20"/>
                  <w:szCs w:val="20"/>
                  <w:lang w:eastAsia="en-AU"/>
                </w:rPr>
                <w:t>12</w:t>
              </w:r>
              <w:r w:rsidRPr="00323CB7">
                <w:rPr>
                  <w:sz w:val="20"/>
                  <w:szCs w:val="20"/>
                  <w:lang w:eastAsia="en-AU"/>
                </w:rPr>
                <w:t xml:space="preserve"> No.</w:t>
              </w:r>
              <w:r w:rsidR="00323CB7">
                <w:rPr>
                  <w:sz w:val="20"/>
                  <w:szCs w:val="20"/>
                  <w:lang w:eastAsia="en-AU"/>
                </w:rPr>
                <w:t>1</w:t>
              </w:r>
              <w:r w:rsidRPr="00323CB7">
                <w:rPr>
                  <w:sz w:val="20"/>
                  <w:szCs w:val="20"/>
                  <w:lang w:eastAsia="en-AU"/>
                </w:rPr>
                <w:t xml:space="preserve"> • 2026</w:t>
              </w:r>
            </w:p>
            <w:p w14:paraId="1A3A4874" w14:textId="77777777" w:rsidR="005F09D3" w:rsidRPr="0048469E" w:rsidRDefault="005F09D3" w:rsidP="003B0112">
              <w:pPr>
                <w:pStyle w:val="Footer"/>
                <w:rPr>
                  <w:sz w:val="18"/>
                  <w:szCs w:val="18"/>
                </w:rPr>
              </w:pPr>
              <w:hyperlink r:id="rId1" w:history="1">
                <w:r w:rsidRPr="0048469E">
                  <w:rPr>
                    <w:rStyle w:val="Hyperlink"/>
                    <w:sz w:val="20"/>
                    <w:szCs w:val="20"/>
                  </w:rPr>
                  <w:t>https://medicamento.unmas.ac.id</w:t>
                </w:r>
              </w:hyperlink>
            </w:p>
          </w:tc>
          <w:tc>
            <w:tcPr>
              <w:tcW w:w="4770" w:type="dxa"/>
            </w:tcPr>
            <w:p w14:paraId="48FA3D8B" w14:textId="0F00CDA5" w:rsidR="005F09D3" w:rsidRPr="0048469E" w:rsidRDefault="005F09D3" w:rsidP="003B0112">
              <w:pPr>
                <w:pStyle w:val="Footer"/>
                <w:jc w:val="right"/>
                <w:rPr>
                  <w:sz w:val="20"/>
                  <w:szCs w:val="20"/>
                </w:rPr>
              </w:pPr>
              <w:r w:rsidRPr="0048469E">
                <w:rPr>
                  <w:sz w:val="20"/>
                  <w:szCs w:val="20"/>
                </w:rPr>
                <w:fldChar w:fldCharType="begin"/>
              </w:r>
              <w:r w:rsidRPr="0048469E">
                <w:rPr>
                  <w:sz w:val="20"/>
                  <w:szCs w:val="20"/>
                </w:rPr>
                <w:instrText xml:space="preserve"> PAGE   \* MERGEFORMAT </w:instrText>
              </w:r>
              <w:r w:rsidRPr="0048469E">
                <w:rPr>
                  <w:sz w:val="20"/>
                  <w:szCs w:val="20"/>
                </w:rPr>
                <w:fldChar w:fldCharType="separate"/>
              </w:r>
              <w:r w:rsidR="00D77478">
                <w:rPr>
                  <w:noProof/>
                  <w:sz w:val="20"/>
                  <w:szCs w:val="20"/>
                </w:rPr>
                <w:t>9</w:t>
              </w:r>
              <w:r w:rsidRPr="0048469E">
                <w:rPr>
                  <w:sz w:val="20"/>
                  <w:szCs w:val="20"/>
                </w:rPr>
                <w:fldChar w:fldCharType="end"/>
              </w:r>
              <w:r w:rsidRPr="0048469E">
                <w:rPr>
                  <w:sz w:val="20"/>
                  <w:szCs w:val="20"/>
                </w:rPr>
                <w:t xml:space="preserve"> </w:t>
              </w:r>
            </w:p>
          </w:tc>
        </w:tr>
      </w:tbl>
      <w:p w14:paraId="44D2487E" w14:textId="71218F7B" w:rsidR="005F09D3" w:rsidRPr="0048469E" w:rsidRDefault="00000000" w:rsidP="003B0112">
        <w:pPr>
          <w:pStyle w:val="Footer"/>
          <w:rPr>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865291"/>
      <w:docPartObj>
        <w:docPartGallery w:val="Page Numbers (Top of Page)"/>
        <w:docPartUnique/>
      </w:docPartObj>
    </w:sdtPr>
    <w:sdtEndPr>
      <w:rPr>
        <w:sz w:val="18"/>
        <w:szCs w:val="18"/>
      </w:rPr>
    </w:sdtEndPr>
    <w:sdtContent>
      <w:p w14:paraId="40CDC9A3" w14:textId="77777777" w:rsidR="005F09D3" w:rsidRPr="0048469E" w:rsidRDefault="005F09D3" w:rsidP="008235D6">
        <w:pPr>
          <w:pBdr>
            <w:bottom w:val="single" w:sz="12" w:space="1" w:color="auto"/>
          </w:pBdr>
          <w:tabs>
            <w:tab w:val="center" w:pos="2835"/>
            <w:tab w:val="right" w:pos="9360"/>
          </w:tabs>
          <w:spacing w:after="0" w:line="240" w:lineRule="auto"/>
          <w:jc w:val="center"/>
          <w:rPr>
            <w:b/>
            <w:sz w:val="20"/>
            <w:szCs w:val="20"/>
            <w:lang w:eastAsia="en-AU"/>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680"/>
        </w:tblGrid>
        <w:tr w:rsidR="005F09D3" w:rsidRPr="00DC0A7A" w14:paraId="30F36B10" w14:textId="77777777" w:rsidTr="008C4C96">
          <w:tc>
            <w:tcPr>
              <w:tcW w:w="5040" w:type="dxa"/>
            </w:tcPr>
            <w:p w14:paraId="31BD3B7F" w14:textId="47F844EE" w:rsidR="005F09D3" w:rsidRPr="00DC0A7A" w:rsidRDefault="005F09D3" w:rsidP="008235D6">
              <w:pPr>
                <w:pStyle w:val="Footer"/>
                <w:rPr>
                  <w:sz w:val="20"/>
                  <w:szCs w:val="20"/>
                </w:rPr>
              </w:pPr>
              <w:r w:rsidRPr="00DC0A7A">
                <w:rPr>
                  <w:b/>
                  <w:sz w:val="20"/>
                  <w:szCs w:val="20"/>
                  <w:lang w:eastAsia="en-AU"/>
                </w:rPr>
                <w:t xml:space="preserve">Jurnal Ilmiah Medicamento </w:t>
              </w:r>
              <w:r w:rsidRPr="00DC0A7A">
                <w:rPr>
                  <w:sz w:val="20"/>
                  <w:szCs w:val="20"/>
                  <w:lang w:eastAsia="en-AU"/>
                </w:rPr>
                <w:t>• Vol.</w:t>
              </w:r>
              <w:r w:rsidR="00DC0A7A">
                <w:rPr>
                  <w:sz w:val="20"/>
                  <w:szCs w:val="20"/>
                  <w:lang w:eastAsia="en-AU"/>
                </w:rPr>
                <w:t>12</w:t>
              </w:r>
              <w:r w:rsidRPr="00DC0A7A">
                <w:rPr>
                  <w:sz w:val="20"/>
                  <w:szCs w:val="20"/>
                  <w:lang w:eastAsia="en-AU"/>
                </w:rPr>
                <w:t xml:space="preserve"> No.</w:t>
              </w:r>
              <w:r w:rsidR="00DC0A7A">
                <w:rPr>
                  <w:sz w:val="20"/>
                  <w:szCs w:val="20"/>
                  <w:lang w:eastAsia="en-AU"/>
                </w:rPr>
                <w:t>1</w:t>
              </w:r>
              <w:r w:rsidRPr="00DC0A7A">
                <w:rPr>
                  <w:sz w:val="20"/>
                  <w:szCs w:val="20"/>
                  <w:lang w:eastAsia="en-AU"/>
                </w:rPr>
                <w:t xml:space="preserve"> • 2026</w:t>
              </w:r>
            </w:p>
            <w:p w14:paraId="43A04357" w14:textId="77777777" w:rsidR="005F09D3" w:rsidRPr="00DC0A7A" w:rsidRDefault="005F09D3" w:rsidP="008235D6">
              <w:pPr>
                <w:pStyle w:val="Footer"/>
                <w:rPr>
                  <w:sz w:val="18"/>
                  <w:szCs w:val="18"/>
                </w:rPr>
              </w:pPr>
              <w:hyperlink r:id="rId1" w:history="1">
                <w:r w:rsidRPr="00DC0A7A">
                  <w:rPr>
                    <w:rStyle w:val="Hyperlink"/>
                    <w:sz w:val="20"/>
                    <w:szCs w:val="20"/>
                  </w:rPr>
                  <w:t>https://medicamento.unmas.ac.id</w:t>
                </w:r>
              </w:hyperlink>
            </w:p>
          </w:tc>
          <w:tc>
            <w:tcPr>
              <w:tcW w:w="4680" w:type="dxa"/>
            </w:tcPr>
            <w:p w14:paraId="76443007" w14:textId="55BC11B6" w:rsidR="005F09D3" w:rsidRPr="00DC0A7A" w:rsidRDefault="005F09D3" w:rsidP="008235D6">
              <w:pPr>
                <w:pStyle w:val="Footer"/>
                <w:jc w:val="right"/>
                <w:rPr>
                  <w:sz w:val="20"/>
                  <w:szCs w:val="20"/>
                </w:rPr>
              </w:pPr>
              <w:r w:rsidRPr="00DC0A7A">
                <w:rPr>
                  <w:sz w:val="20"/>
                  <w:szCs w:val="20"/>
                </w:rPr>
                <w:fldChar w:fldCharType="begin"/>
              </w:r>
              <w:r w:rsidRPr="00DC0A7A">
                <w:rPr>
                  <w:sz w:val="20"/>
                  <w:szCs w:val="20"/>
                </w:rPr>
                <w:instrText xml:space="preserve"> PAGE   \* MERGEFORMAT </w:instrText>
              </w:r>
              <w:r w:rsidRPr="00DC0A7A">
                <w:rPr>
                  <w:sz w:val="20"/>
                  <w:szCs w:val="20"/>
                </w:rPr>
                <w:fldChar w:fldCharType="separate"/>
              </w:r>
              <w:r w:rsidR="00EA5FF8" w:rsidRPr="00DC0A7A">
                <w:rPr>
                  <w:noProof/>
                  <w:sz w:val="20"/>
                  <w:szCs w:val="20"/>
                </w:rPr>
                <w:t>1</w:t>
              </w:r>
              <w:r w:rsidRPr="00DC0A7A">
                <w:rPr>
                  <w:sz w:val="20"/>
                  <w:szCs w:val="20"/>
                </w:rPr>
                <w:fldChar w:fldCharType="end"/>
              </w:r>
            </w:p>
          </w:tc>
        </w:tr>
      </w:tbl>
      <w:p w14:paraId="055F1BA9" w14:textId="77777777" w:rsidR="005F09D3" w:rsidRPr="0048469E" w:rsidRDefault="00000000" w:rsidP="008235D6">
        <w:pPr>
          <w:pStyle w:val="Footer"/>
          <w:rPr>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DE32C" w14:textId="77777777" w:rsidR="00AB3C39" w:rsidRPr="0048469E" w:rsidRDefault="00AB3C39" w:rsidP="006C664D">
      <w:pPr>
        <w:spacing w:after="0" w:line="240" w:lineRule="auto"/>
      </w:pPr>
      <w:r w:rsidRPr="0048469E">
        <w:separator/>
      </w:r>
    </w:p>
  </w:footnote>
  <w:footnote w:type="continuationSeparator" w:id="0">
    <w:p w14:paraId="6AE254B8" w14:textId="77777777" w:rsidR="00AB3C39" w:rsidRPr="0048469E" w:rsidRDefault="00AB3C39" w:rsidP="006C664D">
      <w:pPr>
        <w:spacing w:after="0" w:line="240" w:lineRule="auto"/>
      </w:pPr>
      <w:r w:rsidRPr="004846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DB7E" w14:textId="6205F4C7" w:rsidR="005F09D3" w:rsidRPr="0048469E" w:rsidRDefault="005F09D3">
    <w:pPr>
      <w:pStyle w:val="Header"/>
      <w:jc w:val="right"/>
      <w:rPr>
        <w:rFonts w:ascii="Segoe UI" w:hAnsi="Segoe UI" w:cs="Segoe UI"/>
        <w:color w:val="4472C4" w:themeColor="accent1"/>
        <w:sz w:val="20"/>
        <w:szCs w:val="20"/>
      </w:rPr>
    </w:pPr>
    <w:r w:rsidRPr="0048469E">
      <w:rPr>
        <w:rFonts w:ascii="Segoe UI" w:hAnsi="Segoe UI" w:cs="Segoe UI"/>
        <w:color w:val="4472C4" w:themeColor="accent1"/>
        <w:sz w:val="20"/>
        <w:szCs w:val="20"/>
      </w:rPr>
      <w:t xml:space="preserve">| </w:t>
    </w:r>
    <w:proofErr w:type="spellStart"/>
    <w:r w:rsidR="00101378">
      <w:rPr>
        <w:rFonts w:ascii="Segoe UI" w:hAnsi="Segoe UI" w:cs="Segoe UI"/>
        <w:color w:val="4472C4" w:themeColor="accent1"/>
        <w:sz w:val="20"/>
        <w:szCs w:val="20"/>
      </w:rPr>
      <w:t>Meriyani</w:t>
    </w:r>
    <w:proofErr w:type="spellEnd"/>
    <w:r w:rsidRPr="0048469E">
      <w:rPr>
        <w:rFonts w:ascii="Segoe UI" w:hAnsi="Segoe UI" w:cs="Segoe UI"/>
        <w:color w:val="4472C4" w:themeColor="accent1"/>
        <w:sz w:val="20"/>
        <w:szCs w:val="20"/>
      </w:rPr>
      <w:t>, et al.</w:t>
    </w:r>
  </w:p>
  <w:p w14:paraId="77A02C30" w14:textId="77777777" w:rsidR="005F09D3" w:rsidRPr="0048469E" w:rsidRDefault="005F09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2659" w14:textId="0CF35C72" w:rsidR="005F09D3" w:rsidRPr="0048469E" w:rsidRDefault="00101378" w:rsidP="009A4184">
    <w:pPr>
      <w:pBdr>
        <w:left w:val="single" w:sz="12" w:space="11" w:color="4472C4" w:themeColor="accent1"/>
      </w:pBdr>
      <w:tabs>
        <w:tab w:val="left" w:pos="3620"/>
        <w:tab w:val="left" w:pos="3964"/>
      </w:tabs>
      <w:spacing w:after="0"/>
    </w:pPr>
    <w:r>
      <w:rPr>
        <w:rFonts w:ascii="Segoe UI" w:eastAsiaTheme="majorEastAsia" w:hAnsi="Segoe UI" w:cs="Segoe UI"/>
        <w:color w:val="2F5496" w:themeColor="accent1" w:themeShade="BF"/>
        <w:sz w:val="24"/>
        <w:szCs w:val="24"/>
      </w:rPr>
      <w:t>The Association between Resistance of Sepsis-Inducing…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A87BC" w14:textId="3AFF60D6" w:rsidR="005F09D3" w:rsidRPr="0048469E" w:rsidRDefault="005F09D3" w:rsidP="0011796A">
    <w:pPr>
      <w:pBdr>
        <w:left w:val="single" w:sz="12" w:space="11" w:color="4472C4" w:themeColor="accent1"/>
      </w:pBdr>
      <w:tabs>
        <w:tab w:val="left" w:pos="3620"/>
        <w:tab w:val="left" w:pos="3964"/>
      </w:tabs>
      <w:spacing w:after="0"/>
      <w:rPr>
        <w:rFonts w:asciiTheme="majorHAnsi" w:eastAsiaTheme="majorEastAsia" w:hAnsiTheme="majorHAnsi" w:cstheme="majorBidi"/>
        <w:color w:val="2F5496" w:themeColor="accent1" w:themeShade="BF"/>
        <w:sz w:val="26"/>
        <w:szCs w:val="26"/>
      </w:rPr>
    </w:pPr>
    <w:r w:rsidRPr="0048469E">
      <w:rPr>
        <w:rFonts w:asciiTheme="majorHAnsi" w:eastAsiaTheme="majorEastAsia" w:hAnsiTheme="majorHAnsi" w:cstheme="majorBidi"/>
        <w:color w:val="2F5496" w:themeColor="accent1" w:themeShade="BF"/>
        <w:sz w:val="26"/>
        <w:szCs w:val="26"/>
      </w:rPr>
      <w:t>Running Title (max 50 characters)</w:t>
    </w:r>
  </w:p>
  <w:p w14:paraId="28F51432" w14:textId="77777777" w:rsidR="005F09D3" w:rsidRPr="0048469E" w:rsidRDefault="005F0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2580"/>
    <w:multiLevelType w:val="multilevel"/>
    <w:tmpl w:val="D040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B71B7"/>
    <w:multiLevelType w:val="hybridMultilevel"/>
    <w:tmpl w:val="F438BF5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5761DB2"/>
    <w:multiLevelType w:val="multilevel"/>
    <w:tmpl w:val="CBC4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D59ED"/>
    <w:multiLevelType w:val="hybridMultilevel"/>
    <w:tmpl w:val="656410C4"/>
    <w:lvl w:ilvl="0" w:tplc="7EB2D616">
      <w:start w:val="1"/>
      <w:numFmt w:val="bullet"/>
      <w:lvlText w:val=""/>
      <w:lvlJc w:val="left"/>
      <w:pPr>
        <w:ind w:left="1080" w:hanging="360"/>
      </w:pPr>
      <w:rPr>
        <w:rFonts w:ascii="Symbol" w:hAnsi="Symbol"/>
      </w:rPr>
    </w:lvl>
    <w:lvl w:ilvl="1" w:tplc="9EB88DB6">
      <w:start w:val="1"/>
      <w:numFmt w:val="bullet"/>
      <w:lvlText w:val=""/>
      <w:lvlJc w:val="left"/>
      <w:pPr>
        <w:ind w:left="1080" w:hanging="360"/>
      </w:pPr>
      <w:rPr>
        <w:rFonts w:ascii="Symbol" w:hAnsi="Symbol"/>
      </w:rPr>
    </w:lvl>
    <w:lvl w:ilvl="2" w:tplc="09AA12C8">
      <w:start w:val="1"/>
      <w:numFmt w:val="bullet"/>
      <w:lvlText w:val=""/>
      <w:lvlJc w:val="left"/>
      <w:pPr>
        <w:ind w:left="1080" w:hanging="360"/>
      </w:pPr>
      <w:rPr>
        <w:rFonts w:ascii="Symbol" w:hAnsi="Symbol"/>
      </w:rPr>
    </w:lvl>
    <w:lvl w:ilvl="3" w:tplc="CE565440">
      <w:start w:val="1"/>
      <w:numFmt w:val="bullet"/>
      <w:lvlText w:val=""/>
      <w:lvlJc w:val="left"/>
      <w:pPr>
        <w:ind w:left="1080" w:hanging="360"/>
      </w:pPr>
      <w:rPr>
        <w:rFonts w:ascii="Symbol" w:hAnsi="Symbol"/>
      </w:rPr>
    </w:lvl>
    <w:lvl w:ilvl="4" w:tplc="79263DBA">
      <w:start w:val="1"/>
      <w:numFmt w:val="bullet"/>
      <w:lvlText w:val=""/>
      <w:lvlJc w:val="left"/>
      <w:pPr>
        <w:ind w:left="1080" w:hanging="360"/>
      </w:pPr>
      <w:rPr>
        <w:rFonts w:ascii="Symbol" w:hAnsi="Symbol"/>
      </w:rPr>
    </w:lvl>
    <w:lvl w:ilvl="5" w:tplc="58BA5BAC">
      <w:start w:val="1"/>
      <w:numFmt w:val="bullet"/>
      <w:lvlText w:val=""/>
      <w:lvlJc w:val="left"/>
      <w:pPr>
        <w:ind w:left="1080" w:hanging="360"/>
      </w:pPr>
      <w:rPr>
        <w:rFonts w:ascii="Symbol" w:hAnsi="Symbol"/>
      </w:rPr>
    </w:lvl>
    <w:lvl w:ilvl="6" w:tplc="34EC925A">
      <w:start w:val="1"/>
      <w:numFmt w:val="bullet"/>
      <w:lvlText w:val=""/>
      <w:lvlJc w:val="left"/>
      <w:pPr>
        <w:ind w:left="1080" w:hanging="360"/>
      </w:pPr>
      <w:rPr>
        <w:rFonts w:ascii="Symbol" w:hAnsi="Symbol"/>
      </w:rPr>
    </w:lvl>
    <w:lvl w:ilvl="7" w:tplc="2834CF74">
      <w:start w:val="1"/>
      <w:numFmt w:val="bullet"/>
      <w:lvlText w:val=""/>
      <w:lvlJc w:val="left"/>
      <w:pPr>
        <w:ind w:left="1080" w:hanging="360"/>
      </w:pPr>
      <w:rPr>
        <w:rFonts w:ascii="Symbol" w:hAnsi="Symbol"/>
      </w:rPr>
    </w:lvl>
    <w:lvl w:ilvl="8" w:tplc="381C063E">
      <w:start w:val="1"/>
      <w:numFmt w:val="bullet"/>
      <w:lvlText w:val=""/>
      <w:lvlJc w:val="left"/>
      <w:pPr>
        <w:ind w:left="1080" w:hanging="360"/>
      </w:pPr>
      <w:rPr>
        <w:rFonts w:ascii="Symbol" w:hAnsi="Symbol"/>
      </w:rPr>
    </w:lvl>
  </w:abstractNum>
  <w:abstractNum w:abstractNumId="4" w15:restartNumberingAfterBreak="0">
    <w:nsid w:val="07143374"/>
    <w:multiLevelType w:val="multilevel"/>
    <w:tmpl w:val="4B1E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C67001"/>
    <w:multiLevelType w:val="multilevel"/>
    <w:tmpl w:val="6FEC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67B2C"/>
    <w:multiLevelType w:val="multilevel"/>
    <w:tmpl w:val="5532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9C731F"/>
    <w:multiLevelType w:val="multilevel"/>
    <w:tmpl w:val="6858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173CF"/>
    <w:multiLevelType w:val="hybridMultilevel"/>
    <w:tmpl w:val="31A02F5E"/>
    <w:lvl w:ilvl="0" w:tplc="76C27B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95522C"/>
    <w:multiLevelType w:val="hybridMultilevel"/>
    <w:tmpl w:val="6D061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707B7"/>
    <w:multiLevelType w:val="hybridMultilevel"/>
    <w:tmpl w:val="B1FEEA2C"/>
    <w:lvl w:ilvl="0" w:tplc="EDA8E68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202F5"/>
    <w:multiLevelType w:val="hybridMultilevel"/>
    <w:tmpl w:val="E714A08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2" w15:restartNumberingAfterBreak="0">
    <w:nsid w:val="2F42290F"/>
    <w:multiLevelType w:val="hybridMultilevel"/>
    <w:tmpl w:val="801C46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69A743D"/>
    <w:multiLevelType w:val="hybridMultilevel"/>
    <w:tmpl w:val="13A0396C"/>
    <w:lvl w:ilvl="0" w:tplc="F5820D92">
      <w:start w:val="8"/>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15:restartNumberingAfterBreak="0">
    <w:nsid w:val="3E865683"/>
    <w:multiLevelType w:val="multilevel"/>
    <w:tmpl w:val="6E54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114D98"/>
    <w:multiLevelType w:val="hybridMultilevel"/>
    <w:tmpl w:val="E190E466"/>
    <w:lvl w:ilvl="0" w:tplc="04090019">
      <w:start w:val="1"/>
      <w:numFmt w:val="lowerLetter"/>
      <w:lvlText w:val="%1."/>
      <w:lvlJc w:val="left"/>
      <w:pPr>
        <w:ind w:left="2847" w:hanging="360"/>
      </w:pPr>
    </w:lvl>
    <w:lvl w:ilvl="1" w:tplc="04090019">
      <w:start w:val="1"/>
      <w:numFmt w:val="lowerLetter"/>
      <w:lvlText w:val="%2."/>
      <w:lvlJc w:val="left"/>
      <w:pPr>
        <w:ind w:left="3567" w:hanging="360"/>
      </w:pPr>
    </w:lvl>
    <w:lvl w:ilvl="2" w:tplc="AC9C578A">
      <w:start w:val="1"/>
      <w:numFmt w:val="decimal"/>
      <w:lvlText w:val="%3."/>
      <w:lvlJc w:val="left"/>
      <w:pPr>
        <w:ind w:left="4467" w:hanging="360"/>
      </w:pPr>
      <w:rPr>
        <w:rFonts w:hint="default"/>
      </w:rPr>
    </w:lvl>
    <w:lvl w:ilvl="3" w:tplc="C5BA2282">
      <w:start w:val="4"/>
      <w:numFmt w:val="bullet"/>
      <w:lvlText w:val=""/>
      <w:lvlJc w:val="left"/>
      <w:pPr>
        <w:ind w:left="5007" w:hanging="360"/>
      </w:pPr>
      <w:rPr>
        <w:rFonts w:ascii="Wingdings" w:eastAsiaTheme="minorHAnsi" w:hAnsi="Wingdings" w:cs="Times New Roman" w:hint="default"/>
      </w:r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16" w15:restartNumberingAfterBreak="0">
    <w:nsid w:val="5221050E"/>
    <w:multiLevelType w:val="multilevel"/>
    <w:tmpl w:val="5726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3C2389"/>
    <w:multiLevelType w:val="hybridMultilevel"/>
    <w:tmpl w:val="EAFECDD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BA6EB4"/>
    <w:multiLevelType w:val="hybridMultilevel"/>
    <w:tmpl w:val="A4E2E044"/>
    <w:lvl w:ilvl="0" w:tplc="F906E8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6460E6"/>
    <w:multiLevelType w:val="hybridMultilevel"/>
    <w:tmpl w:val="5CE2C5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E1343BF"/>
    <w:multiLevelType w:val="multilevel"/>
    <w:tmpl w:val="8818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8B3312"/>
    <w:multiLevelType w:val="multilevel"/>
    <w:tmpl w:val="F1481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32E2E"/>
    <w:multiLevelType w:val="hybridMultilevel"/>
    <w:tmpl w:val="A848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346EC"/>
    <w:multiLevelType w:val="hybridMultilevel"/>
    <w:tmpl w:val="3564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10C89"/>
    <w:multiLevelType w:val="hybridMultilevel"/>
    <w:tmpl w:val="19C4F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0565919">
    <w:abstractNumId w:val="1"/>
  </w:num>
  <w:num w:numId="2" w16cid:durableId="1223833147">
    <w:abstractNumId w:val="19"/>
  </w:num>
  <w:num w:numId="3" w16cid:durableId="1540968426">
    <w:abstractNumId w:val="15"/>
  </w:num>
  <w:num w:numId="4" w16cid:durableId="48456692">
    <w:abstractNumId w:val="24"/>
  </w:num>
  <w:num w:numId="5" w16cid:durableId="708800472">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3007106">
    <w:abstractNumId w:val="8"/>
  </w:num>
  <w:num w:numId="7" w16cid:durableId="1160272609">
    <w:abstractNumId w:val="10"/>
  </w:num>
  <w:num w:numId="8" w16cid:durableId="1728147549">
    <w:abstractNumId w:val="18"/>
  </w:num>
  <w:num w:numId="9" w16cid:durableId="20512204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318375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8810262">
    <w:abstractNumId w:val="23"/>
  </w:num>
  <w:num w:numId="12" w16cid:durableId="901910637">
    <w:abstractNumId w:val="9"/>
  </w:num>
  <w:num w:numId="13" w16cid:durableId="34038712">
    <w:abstractNumId w:val="17"/>
  </w:num>
  <w:num w:numId="14" w16cid:durableId="355739783">
    <w:abstractNumId w:val="22"/>
  </w:num>
  <w:num w:numId="15" w16cid:durableId="1267612865">
    <w:abstractNumId w:val="3"/>
  </w:num>
  <w:num w:numId="16" w16cid:durableId="2087846830">
    <w:abstractNumId w:val="21"/>
  </w:num>
  <w:num w:numId="17" w16cid:durableId="426115515">
    <w:abstractNumId w:val="5"/>
  </w:num>
  <w:num w:numId="18" w16cid:durableId="2059157547">
    <w:abstractNumId w:val="7"/>
  </w:num>
  <w:num w:numId="19" w16cid:durableId="973410756">
    <w:abstractNumId w:val="16"/>
  </w:num>
  <w:num w:numId="20" w16cid:durableId="1982229842">
    <w:abstractNumId w:val="6"/>
  </w:num>
  <w:num w:numId="21" w16cid:durableId="2071995860">
    <w:abstractNumId w:val="14"/>
  </w:num>
  <w:num w:numId="22" w16cid:durableId="1247689267">
    <w:abstractNumId w:val="0"/>
  </w:num>
  <w:num w:numId="23" w16cid:durableId="1244338486">
    <w:abstractNumId w:val="4"/>
  </w:num>
  <w:num w:numId="24" w16cid:durableId="966276536">
    <w:abstractNumId w:val="2"/>
  </w:num>
  <w:num w:numId="25" w16cid:durableId="9232235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U3MTExtTAztwRiMyUdpeDU4uLM/DyQAkPDWgCzXkQoLQAAAA=="/>
  </w:docVars>
  <w:rsids>
    <w:rsidRoot w:val="006C664D"/>
    <w:rsid w:val="000018F5"/>
    <w:rsid w:val="000020EC"/>
    <w:rsid w:val="00004ADB"/>
    <w:rsid w:val="00007CC7"/>
    <w:rsid w:val="00007FA5"/>
    <w:rsid w:val="00022754"/>
    <w:rsid w:val="00031F58"/>
    <w:rsid w:val="000353D2"/>
    <w:rsid w:val="00036190"/>
    <w:rsid w:val="00036B82"/>
    <w:rsid w:val="0004301B"/>
    <w:rsid w:val="00044781"/>
    <w:rsid w:val="00045D5B"/>
    <w:rsid w:val="00047168"/>
    <w:rsid w:val="00056098"/>
    <w:rsid w:val="0005686B"/>
    <w:rsid w:val="00056C4D"/>
    <w:rsid w:val="00067495"/>
    <w:rsid w:val="00076BD6"/>
    <w:rsid w:val="00081F66"/>
    <w:rsid w:val="00090658"/>
    <w:rsid w:val="000966F9"/>
    <w:rsid w:val="00096D78"/>
    <w:rsid w:val="000A19CD"/>
    <w:rsid w:val="000A3B99"/>
    <w:rsid w:val="000A4AEA"/>
    <w:rsid w:val="000A785C"/>
    <w:rsid w:val="000C24F2"/>
    <w:rsid w:val="000C5538"/>
    <w:rsid w:val="000D017F"/>
    <w:rsid w:val="000D24ED"/>
    <w:rsid w:val="000D2E5E"/>
    <w:rsid w:val="000E0928"/>
    <w:rsid w:val="000F16CC"/>
    <w:rsid w:val="000F3AAF"/>
    <w:rsid w:val="000F3B73"/>
    <w:rsid w:val="000F4BF7"/>
    <w:rsid w:val="000F4E92"/>
    <w:rsid w:val="000F665C"/>
    <w:rsid w:val="00101378"/>
    <w:rsid w:val="00102185"/>
    <w:rsid w:val="001032CA"/>
    <w:rsid w:val="0010592E"/>
    <w:rsid w:val="00107493"/>
    <w:rsid w:val="0011009C"/>
    <w:rsid w:val="001122ED"/>
    <w:rsid w:val="00113D27"/>
    <w:rsid w:val="0011578D"/>
    <w:rsid w:val="0011796A"/>
    <w:rsid w:val="0013331A"/>
    <w:rsid w:val="001344C1"/>
    <w:rsid w:val="0014164C"/>
    <w:rsid w:val="00141C35"/>
    <w:rsid w:val="001430DD"/>
    <w:rsid w:val="001548AC"/>
    <w:rsid w:val="001616FF"/>
    <w:rsid w:val="00164713"/>
    <w:rsid w:val="00166AB7"/>
    <w:rsid w:val="001808ED"/>
    <w:rsid w:val="001809A6"/>
    <w:rsid w:val="001923BA"/>
    <w:rsid w:val="00192522"/>
    <w:rsid w:val="00194945"/>
    <w:rsid w:val="001A2F36"/>
    <w:rsid w:val="001A7066"/>
    <w:rsid w:val="001B237E"/>
    <w:rsid w:val="001C03CC"/>
    <w:rsid w:val="001C24D6"/>
    <w:rsid w:val="001D1ABB"/>
    <w:rsid w:val="001D531B"/>
    <w:rsid w:val="001D6A32"/>
    <w:rsid w:val="001F0486"/>
    <w:rsid w:val="001F08F8"/>
    <w:rsid w:val="002040AB"/>
    <w:rsid w:val="00206482"/>
    <w:rsid w:val="00212713"/>
    <w:rsid w:val="002206E0"/>
    <w:rsid w:val="002210A8"/>
    <w:rsid w:val="002217D5"/>
    <w:rsid w:val="00224F9D"/>
    <w:rsid w:val="002303D1"/>
    <w:rsid w:val="002404AB"/>
    <w:rsid w:val="00240E80"/>
    <w:rsid w:val="002415E0"/>
    <w:rsid w:val="002526FF"/>
    <w:rsid w:val="0025303F"/>
    <w:rsid w:val="00253BB5"/>
    <w:rsid w:val="00261E30"/>
    <w:rsid w:val="00262D0B"/>
    <w:rsid w:val="0026395F"/>
    <w:rsid w:val="002669A4"/>
    <w:rsid w:val="00273711"/>
    <w:rsid w:val="0027738A"/>
    <w:rsid w:val="002823CD"/>
    <w:rsid w:val="00283C8D"/>
    <w:rsid w:val="00283EC4"/>
    <w:rsid w:val="0028439E"/>
    <w:rsid w:val="00284A96"/>
    <w:rsid w:val="00285025"/>
    <w:rsid w:val="002853C0"/>
    <w:rsid w:val="00286284"/>
    <w:rsid w:val="00286C0F"/>
    <w:rsid w:val="00287ED8"/>
    <w:rsid w:val="00297143"/>
    <w:rsid w:val="002A1093"/>
    <w:rsid w:val="002A1A08"/>
    <w:rsid w:val="002A6430"/>
    <w:rsid w:val="002A67C8"/>
    <w:rsid w:val="002B591E"/>
    <w:rsid w:val="002B705B"/>
    <w:rsid w:val="002C2FBC"/>
    <w:rsid w:val="002C4175"/>
    <w:rsid w:val="002C5B9D"/>
    <w:rsid w:val="002D1D20"/>
    <w:rsid w:val="002D78A8"/>
    <w:rsid w:val="002E0690"/>
    <w:rsid w:val="002E1E2B"/>
    <w:rsid w:val="002E598B"/>
    <w:rsid w:val="002F6071"/>
    <w:rsid w:val="002F7C0E"/>
    <w:rsid w:val="0030079F"/>
    <w:rsid w:val="00303B41"/>
    <w:rsid w:val="0030617D"/>
    <w:rsid w:val="00306229"/>
    <w:rsid w:val="00312676"/>
    <w:rsid w:val="00316DF0"/>
    <w:rsid w:val="00323CB7"/>
    <w:rsid w:val="00324B7B"/>
    <w:rsid w:val="00327F77"/>
    <w:rsid w:val="00330864"/>
    <w:rsid w:val="00330905"/>
    <w:rsid w:val="003337D5"/>
    <w:rsid w:val="003346DF"/>
    <w:rsid w:val="00345C43"/>
    <w:rsid w:val="00347EF3"/>
    <w:rsid w:val="00351CBC"/>
    <w:rsid w:val="00352759"/>
    <w:rsid w:val="0035331F"/>
    <w:rsid w:val="0035681A"/>
    <w:rsid w:val="00357403"/>
    <w:rsid w:val="0036169A"/>
    <w:rsid w:val="00370117"/>
    <w:rsid w:val="0038762A"/>
    <w:rsid w:val="00391257"/>
    <w:rsid w:val="0039349F"/>
    <w:rsid w:val="003A7B6D"/>
    <w:rsid w:val="003B0112"/>
    <w:rsid w:val="003B0AA6"/>
    <w:rsid w:val="003B2512"/>
    <w:rsid w:val="003C12DD"/>
    <w:rsid w:val="003C5B1B"/>
    <w:rsid w:val="003C60E0"/>
    <w:rsid w:val="003C7AC0"/>
    <w:rsid w:val="003D0036"/>
    <w:rsid w:val="003D0DB2"/>
    <w:rsid w:val="003D6B83"/>
    <w:rsid w:val="003E5090"/>
    <w:rsid w:val="003E5807"/>
    <w:rsid w:val="003F088B"/>
    <w:rsid w:val="003F71CE"/>
    <w:rsid w:val="003F7AB4"/>
    <w:rsid w:val="00401187"/>
    <w:rsid w:val="00401CA4"/>
    <w:rsid w:val="004022BA"/>
    <w:rsid w:val="0040285D"/>
    <w:rsid w:val="00402CF3"/>
    <w:rsid w:val="00403B6C"/>
    <w:rsid w:val="00405393"/>
    <w:rsid w:val="00407AC9"/>
    <w:rsid w:val="004147E2"/>
    <w:rsid w:val="004310D6"/>
    <w:rsid w:val="0043121A"/>
    <w:rsid w:val="0043294A"/>
    <w:rsid w:val="0043498B"/>
    <w:rsid w:val="004408F7"/>
    <w:rsid w:val="004455A2"/>
    <w:rsid w:val="00445F66"/>
    <w:rsid w:val="00446EA9"/>
    <w:rsid w:val="0045043E"/>
    <w:rsid w:val="00453DA3"/>
    <w:rsid w:val="00457BB8"/>
    <w:rsid w:val="00461258"/>
    <w:rsid w:val="00464C11"/>
    <w:rsid w:val="0046713F"/>
    <w:rsid w:val="00473349"/>
    <w:rsid w:val="0048469E"/>
    <w:rsid w:val="004849AC"/>
    <w:rsid w:val="00486154"/>
    <w:rsid w:val="004906EB"/>
    <w:rsid w:val="0049381F"/>
    <w:rsid w:val="00494836"/>
    <w:rsid w:val="00495007"/>
    <w:rsid w:val="00496395"/>
    <w:rsid w:val="0049682E"/>
    <w:rsid w:val="004A3C18"/>
    <w:rsid w:val="004B2E14"/>
    <w:rsid w:val="004B3F8A"/>
    <w:rsid w:val="004B4B85"/>
    <w:rsid w:val="004B595E"/>
    <w:rsid w:val="004C0241"/>
    <w:rsid w:val="004C3BFB"/>
    <w:rsid w:val="004C60A6"/>
    <w:rsid w:val="004C72A3"/>
    <w:rsid w:val="004C7FB6"/>
    <w:rsid w:val="004D1FFA"/>
    <w:rsid w:val="004E291D"/>
    <w:rsid w:val="004E2B63"/>
    <w:rsid w:val="004E3987"/>
    <w:rsid w:val="004E5295"/>
    <w:rsid w:val="004E75DD"/>
    <w:rsid w:val="004F2CF2"/>
    <w:rsid w:val="0050188D"/>
    <w:rsid w:val="00503700"/>
    <w:rsid w:val="00504C25"/>
    <w:rsid w:val="005050DC"/>
    <w:rsid w:val="0050523C"/>
    <w:rsid w:val="00511917"/>
    <w:rsid w:val="00511C9E"/>
    <w:rsid w:val="0051516E"/>
    <w:rsid w:val="005174D8"/>
    <w:rsid w:val="005203AA"/>
    <w:rsid w:val="00542D13"/>
    <w:rsid w:val="00543CC1"/>
    <w:rsid w:val="00546B18"/>
    <w:rsid w:val="00546FCF"/>
    <w:rsid w:val="00547A68"/>
    <w:rsid w:val="00553464"/>
    <w:rsid w:val="00553C75"/>
    <w:rsid w:val="00554D03"/>
    <w:rsid w:val="00556991"/>
    <w:rsid w:val="00556CFA"/>
    <w:rsid w:val="00563F2E"/>
    <w:rsid w:val="005655E5"/>
    <w:rsid w:val="00567053"/>
    <w:rsid w:val="0057047E"/>
    <w:rsid w:val="00571C9B"/>
    <w:rsid w:val="005731FB"/>
    <w:rsid w:val="005761F5"/>
    <w:rsid w:val="005857C0"/>
    <w:rsid w:val="00590EB3"/>
    <w:rsid w:val="005918EC"/>
    <w:rsid w:val="00591ABD"/>
    <w:rsid w:val="005938C9"/>
    <w:rsid w:val="0059799A"/>
    <w:rsid w:val="005A0311"/>
    <w:rsid w:val="005A38C9"/>
    <w:rsid w:val="005B065A"/>
    <w:rsid w:val="005B4240"/>
    <w:rsid w:val="005C0087"/>
    <w:rsid w:val="005C2754"/>
    <w:rsid w:val="005C305D"/>
    <w:rsid w:val="005C7578"/>
    <w:rsid w:val="005D1DF9"/>
    <w:rsid w:val="005D293D"/>
    <w:rsid w:val="005E0607"/>
    <w:rsid w:val="005E0BC6"/>
    <w:rsid w:val="005F00D3"/>
    <w:rsid w:val="005F09D3"/>
    <w:rsid w:val="005F11C9"/>
    <w:rsid w:val="005F3665"/>
    <w:rsid w:val="005F7938"/>
    <w:rsid w:val="00603C11"/>
    <w:rsid w:val="0060439D"/>
    <w:rsid w:val="0061170F"/>
    <w:rsid w:val="006136FF"/>
    <w:rsid w:val="0061378D"/>
    <w:rsid w:val="00613900"/>
    <w:rsid w:val="00614469"/>
    <w:rsid w:val="0062099D"/>
    <w:rsid w:val="00621BF9"/>
    <w:rsid w:val="006240D9"/>
    <w:rsid w:val="00637842"/>
    <w:rsid w:val="00643058"/>
    <w:rsid w:val="00643E03"/>
    <w:rsid w:val="0064565E"/>
    <w:rsid w:val="00647EC7"/>
    <w:rsid w:val="00662638"/>
    <w:rsid w:val="006666F0"/>
    <w:rsid w:val="006667AE"/>
    <w:rsid w:val="00672009"/>
    <w:rsid w:val="006723AB"/>
    <w:rsid w:val="00675C61"/>
    <w:rsid w:val="00680298"/>
    <w:rsid w:val="00682360"/>
    <w:rsid w:val="0068533F"/>
    <w:rsid w:val="00692685"/>
    <w:rsid w:val="0069321C"/>
    <w:rsid w:val="00694D1B"/>
    <w:rsid w:val="00697C0F"/>
    <w:rsid w:val="006B442F"/>
    <w:rsid w:val="006C0839"/>
    <w:rsid w:val="006C58A5"/>
    <w:rsid w:val="006C58C2"/>
    <w:rsid w:val="006C609B"/>
    <w:rsid w:val="006C664D"/>
    <w:rsid w:val="006C6DC8"/>
    <w:rsid w:val="006C700D"/>
    <w:rsid w:val="006C7430"/>
    <w:rsid w:val="006D1DD8"/>
    <w:rsid w:val="006E5892"/>
    <w:rsid w:val="006E7CA0"/>
    <w:rsid w:val="006F715A"/>
    <w:rsid w:val="00701B5F"/>
    <w:rsid w:val="00702764"/>
    <w:rsid w:val="00703FD8"/>
    <w:rsid w:val="00706567"/>
    <w:rsid w:val="00711E46"/>
    <w:rsid w:val="007125FD"/>
    <w:rsid w:val="007138A6"/>
    <w:rsid w:val="007156E8"/>
    <w:rsid w:val="007159B4"/>
    <w:rsid w:val="00723CCC"/>
    <w:rsid w:val="007258A9"/>
    <w:rsid w:val="00727AD6"/>
    <w:rsid w:val="00732AA3"/>
    <w:rsid w:val="0073341A"/>
    <w:rsid w:val="00736505"/>
    <w:rsid w:val="00737FDB"/>
    <w:rsid w:val="00741520"/>
    <w:rsid w:val="007512DF"/>
    <w:rsid w:val="007536FD"/>
    <w:rsid w:val="007615DE"/>
    <w:rsid w:val="00763976"/>
    <w:rsid w:val="007642F7"/>
    <w:rsid w:val="007704E1"/>
    <w:rsid w:val="00771619"/>
    <w:rsid w:val="007727FC"/>
    <w:rsid w:val="007764C4"/>
    <w:rsid w:val="007769DD"/>
    <w:rsid w:val="007774C6"/>
    <w:rsid w:val="00783615"/>
    <w:rsid w:val="00797E89"/>
    <w:rsid w:val="00797E96"/>
    <w:rsid w:val="007B134B"/>
    <w:rsid w:val="007B159F"/>
    <w:rsid w:val="007B6225"/>
    <w:rsid w:val="007C011E"/>
    <w:rsid w:val="007D37BF"/>
    <w:rsid w:val="007D41AF"/>
    <w:rsid w:val="007E452D"/>
    <w:rsid w:val="007E5B3C"/>
    <w:rsid w:val="007F14DA"/>
    <w:rsid w:val="007F4302"/>
    <w:rsid w:val="007F55B0"/>
    <w:rsid w:val="007F7B28"/>
    <w:rsid w:val="00801820"/>
    <w:rsid w:val="00801C34"/>
    <w:rsid w:val="008029CC"/>
    <w:rsid w:val="00802E00"/>
    <w:rsid w:val="00803059"/>
    <w:rsid w:val="008054F7"/>
    <w:rsid w:val="00812889"/>
    <w:rsid w:val="00815C57"/>
    <w:rsid w:val="00821F8A"/>
    <w:rsid w:val="008235D6"/>
    <w:rsid w:val="00823BFD"/>
    <w:rsid w:val="0082434C"/>
    <w:rsid w:val="00832DBA"/>
    <w:rsid w:val="00836E53"/>
    <w:rsid w:val="00842EBD"/>
    <w:rsid w:val="00851730"/>
    <w:rsid w:val="008520EC"/>
    <w:rsid w:val="008527BA"/>
    <w:rsid w:val="00852D18"/>
    <w:rsid w:val="00853183"/>
    <w:rsid w:val="0085607E"/>
    <w:rsid w:val="00863644"/>
    <w:rsid w:val="00870C49"/>
    <w:rsid w:val="008751F3"/>
    <w:rsid w:val="00875DD3"/>
    <w:rsid w:val="00887769"/>
    <w:rsid w:val="00891D6A"/>
    <w:rsid w:val="0089270C"/>
    <w:rsid w:val="0089462D"/>
    <w:rsid w:val="008A71A5"/>
    <w:rsid w:val="008B161A"/>
    <w:rsid w:val="008B7D90"/>
    <w:rsid w:val="008C341A"/>
    <w:rsid w:val="008C40BE"/>
    <w:rsid w:val="008C4C8E"/>
    <w:rsid w:val="008C4C96"/>
    <w:rsid w:val="008C738A"/>
    <w:rsid w:val="008D0A72"/>
    <w:rsid w:val="008D1C95"/>
    <w:rsid w:val="008D4038"/>
    <w:rsid w:val="008D5835"/>
    <w:rsid w:val="008E02F4"/>
    <w:rsid w:val="008E0D3E"/>
    <w:rsid w:val="008E5B10"/>
    <w:rsid w:val="008E68D2"/>
    <w:rsid w:val="008E6C8D"/>
    <w:rsid w:val="008E7852"/>
    <w:rsid w:val="00903364"/>
    <w:rsid w:val="00904720"/>
    <w:rsid w:val="00907EA7"/>
    <w:rsid w:val="00913F8E"/>
    <w:rsid w:val="0092169E"/>
    <w:rsid w:val="00924B54"/>
    <w:rsid w:val="009351D1"/>
    <w:rsid w:val="009468FA"/>
    <w:rsid w:val="0095746C"/>
    <w:rsid w:val="00957E53"/>
    <w:rsid w:val="0096179E"/>
    <w:rsid w:val="00961F12"/>
    <w:rsid w:val="00963FF0"/>
    <w:rsid w:val="00970844"/>
    <w:rsid w:val="0097167C"/>
    <w:rsid w:val="009751C7"/>
    <w:rsid w:val="009777C7"/>
    <w:rsid w:val="00980B88"/>
    <w:rsid w:val="00982AB6"/>
    <w:rsid w:val="00986035"/>
    <w:rsid w:val="009A0042"/>
    <w:rsid w:val="009A4184"/>
    <w:rsid w:val="009A5489"/>
    <w:rsid w:val="009A5E79"/>
    <w:rsid w:val="009B03C1"/>
    <w:rsid w:val="009B180B"/>
    <w:rsid w:val="009B1B92"/>
    <w:rsid w:val="009B51C8"/>
    <w:rsid w:val="009B7EB6"/>
    <w:rsid w:val="009C1D1A"/>
    <w:rsid w:val="009C5A46"/>
    <w:rsid w:val="009D3B63"/>
    <w:rsid w:val="009D4937"/>
    <w:rsid w:val="009D6D4A"/>
    <w:rsid w:val="009E1008"/>
    <w:rsid w:val="009E2E2A"/>
    <w:rsid w:val="009E3A9E"/>
    <w:rsid w:val="009E41D2"/>
    <w:rsid w:val="009E7B1B"/>
    <w:rsid w:val="009E7C33"/>
    <w:rsid w:val="009F1049"/>
    <w:rsid w:val="009F15F3"/>
    <w:rsid w:val="009F2051"/>
    <w:rsid w:val="009F5067"/>
    <w:rsid w:val="009F6298"/>
    <w:rsid w:val="009F7762"/>
    <w:rsid w:val="00A01387"/>
    <w:rsid w:val="00A01688"/>
    <w:rsid w:val="00A025F3"/>
    <w:rsid w:val="00A03B1B"/>
    <w:rsid w:val="00A04FCD"/>
    <w:rsid w:val="00A159C5"/>
    <w:rsid w:val="00A23421"/>
    <w:rsid w:val="00A26C6B"/>
    <w:rsid w:val="00A31B03"/>
    <w:rsid w:val="00A34948"/>
    <w:rsid w:val="00A34EEA"/>
    <w:rsid w:val="00A3565B"/>
    <w:rsid w:val="00A37091"/>
    <w:rsid w:val="00A510F5"/>
    <w:rsid w:val="00A56121"/>
    <w:rsid w:val="00A563E0"/>
    <w:rsid w:val="00A56605"/>
    <w:rsid w:val="00A57B83"/>
    <w:rsid w:val="00A57FF4"/>
    <w:rsid w:val="00A61166"/>
    <w:rsid w:val="00A6170B"/>
    <w:rsid w:val="00A75CCB"/>
    <w:rsid w:val="00A77C31"/>
    <w:rsid w:val="00A82C78"/>
    <w:rsid w:val="00A85AD1"/>
    <w:rsid w:val="00A92081"/>
    <w:rsid w:val="00A92F1B"/>
    <w:rsid w:val="00A94862"/>
    <w:rsid w:val="00A9549F"/>
    <w:rsid w:val="00AA1A9E"/>
    <w:rsid w:val="00AA5712"/>
    <w:rsid w:val="00AB047B"/>
    <w:rsid w:val="00AB3C39"/>
    <w:rsid w:val="00AB7587"/>
    <w:rsid w:val="00AC3230"/>
    <w:rsid w:val="00AC3293"/>
    <w:rsid w:val="00AC33F5"/>
    <w:rsid w:val="00AC3619"/>
    <w:rsid w:val="00AC564C"/>
    <w:rsid w:val="00AD23F9"/>
    <w:rsid w:val="00AD320A"/>
    <w:rsid w:val="00AD502D"/>
    <w:rsid w:val="00AD59F1"/>
    <w:rsid w:val="00AD7B66"/>
    <w:rsid w:val="00AD7FC2"/>
    <w:rsid w:val="00AE58A6"/>
    <w:rsid w:val="00AE58B4"/>
    <w:rsid w:val="00AF03D0"/>
    <w:rsid w:val="00AF0704"/>
    <w:rsid w:val="00AF303A"/>
    <w:rsid w:val="00AF33E9"/>
    <w:rsid w:val="00AF4DF3"/>
    <w:rsid w:val="00AF75DA"/>
    <w:rsid w:val="00AF7B84"/>
    <w:rsid w:val="00B0060D"/>
    <w:rsid w:val="00B03DC2"/>
    <w:rsid w:val="00B13C58"/>
    <w:rsid w:val="00B14D6E"/>
    <w:rsid w:val="00B30852"/>
    <w:rsid w:val="00B33712"/>
    <w:rsid w:val="00B4167F"/>
    <w:rsid w:val="00B42C31"/>
    <w:rsid w:val="00B47849"/>
    <w:rsid w:val="00B47C0D"/>
    <w:rsid w:val="00B600FB"/>
    <w:rsid w:val="00B71193"/>
    <w:rsid w:val="00B7352C"/>
    <w:rsid w:val="00B749F1"/>
    <w:rsid w:val="00B74E4F"/>
    <w:rsid w:val="00B84B3E"/>
    <w:rsid w:val="00B84F4C"/>
    <w:rsid w:val="00B8743E"/>
    <w:rsid w:val="00B9091A"/>
    <w:rsid w:val="00B94B89"/>
    <w:rsid w:val="00B97814"/>
    <w:rsid w:val="00BA29F2"/>
    <w:rsid w:val="00BA31FC"/>
    <w:rsid w:val="00BA3E25"/>
    <w:rsid w:val="00BA7D5F"/>
    <w:rsid w:val="00BB46BC"/>
    <w:rsid w:val="00BB5EC4"/>
    <w:rsid w:val="00BC185E"/>
    <w:rsid w:val="00BC3BF0"/>
    <w:rsid w:val="00BC6F61"/>
    <w:rsid w:val="00BD59F1"/>
    <w:rsid w:val="00BE3DC4"/>
    <w:rsid w:val="00BE4315"/>
    <w:rsid w:val="00BE7E66"/>
    <w:rsid w:val="00BF127D"/>
    <w:rsid w:val="00BF6277"/>
    <w:rsid w:val="00C04E90"/>
    <w:rsid w:val="00C050BC"/>
    <w:rsid w:val="00C10BEB"/>
    <w:rsid w:val="00C115C9"/>
    <w:rsid w:val="00C178CF"/>
    <w:rsid w:val="00C211AE"/>
    <w:rsid w:val="00C23039"/>
    <w:rsid w:val="00C245AC"/>
    <w:rsid w:val="00C26143"/>
    <w:rsid w:val="00C33762"/>
    <w:rsid w:val="00C358B9"/>
    <w:rsid w:val="00C36EEA"/>
    <w:rsid w:val="00C36EFE"/>
    <w:rsid w:val="00C44347"/>
    <w:rsid w:val="00C47613"/>
    <w:rsid w:val="00C51D86"/>
    <w:rsid w:val="00C542D2"/>
    <w:rsid w:val="00C54351"/>
    <w:rsid w:val="00C57640"/>
    <w:rsid w:val="00C60120"/>
    <w:rsid w:val="00C613F7"/>
    <w:rsid w:val="00C63B0B"/>
    <w:rsid w:val="00C72449"/>
    <w:rsid w:val="00C73069"/>
    <w:rsid w:val="00C74BF3"/>
    <w:rsid w:val="00C76359"/>
    <w:rsid w:val="00C82E94"/>
    <w:rsid w:val="00C8632D"/>
    <w:rsid w:val="00C87B36"/>
    <w:rsid w:val="00C9258E"/>
    <w:rsid w:val="00C94A70"/>
    <w:rsid w:val="00CA015E"/>
    <w:rsid w:val="00CA2A64"/>
    <w:rsid w:val="00CB08A9"/>
    <w:rsid w:val="00CB0C70"/>
    <w:rsid w:val="00CC0E18"/>
    <w:rsid w:val="00CC3D09"/>
    <w:rsid w:val="00CC5138"/>
    <w:rsid w:val="00CD3730"/>
    <w:rsid w:val="00CD59CC"/>
    <w:rsid w:val="00CE2C8A"/>
    <w:rsid w:val="00CF60D6"/>
    <w:rsid w:val="00CF66A2"/>
    <w:rsid w:val="00CF7B1D"/>
    <w:rsid w:val="00D01CB3"/>
    <w:rsid w:val="00D10ABD"/>
    <w:rsid w:val="00D16E55"/>
    <w:rsid w:val="00D17035"/>
    <w:rsid w:val="00D30A6D"/>
    <w:rsid w:val="00D34CC7"/>
    <w:rsid w:val="00D462B1"/>
    <w:rsid w:val="00D47621"/>
    <w:rsid w:val="00D51450"/>
    <w:rsid w:val="00D51C52"/>
    <w:rsid w:val="00D5278C"/>
    <w:rsid w:val="00D52C45"/>
    <w:rsid w:val="00D5301A"/>
    <w:rsid w:val="00D60EA5"/>
    <w:rsid w:val="00D653D0"/>
    <w:rsid w:val="00D65513"/>
    <w:rsid w:val="00D67035"/>
    <w:rsid w:val="00D76872"/>
    <w:rsid w:val="00D76B9D"/>
    <w:rsid w:val="00D7724F"/>
    <w:rsid w:val="00D77478"/>
    <w:rsid w:val="00D7786B"/>
    <w:rsid w:val="00D81ADC"/>
    <w:rsid w:val="00D81BA3"/>
    <w:rsid w:val="00D8358C"/>
    <w:rsid w:val="00D871BB"/>
    <w:rsid w:val="00D95F28"/>
    <w:rsid w:val="00D96ED8"/>
    <w:rsid w:val="00DA0E3A"/>
    <w:rsid w:val="00DA0F71"/>
    <w:rsid w:val="00DA1D16"/>
    <w:rsid w:val="00DA307E"/>
    <w:rsid w:val="00DA38DB"/>
    <w:rsid w:val="00DA5008"/>
    <w:rsid w:val="00DA676F"/>
    <w:rsid w:val="00DA6A2F"/>
    <w:rsid w:val="00DA70D5"/>
    <w:rsid w:val="00DA70EA"/>
    <w:rsid w:val="00DB1CEE"/>
    <w:rsid w:val="00DB43BC"/>
    <w:rsid w:val="00DB53A8"/>
    <w:rsid w:val="00DB648D"/>
    <w:rsid w:val="00DB7ADC"/>
    <w:rsid w:val="00DC0A7A"/>
    <w:rsid w:val="00DC1833"/>
    <w:rsid w:val="00DC2022"/>
    <w:rsid w:val="00DC5363"/>
    <w:rsid w:val="00DC57B3"/>
    <w:rsid w:val="00DC68F6"/>
    <w:rsid w:val="00DC7B3A"/>
    <w:rsid w:val="00DD0377"/>
    <w:rsid w:val="00DD1407"/>
    <w:rsid w:val="00DD531D"/>
    <w:rsid w:val="00DD6ECA"/>
    <w:rsid w:val="00DD7F62"/>
    <w:rsid w:val="00DE116B"/>
    <w:rsid w:val="00DE2942"/>
    <w:rsid w:val="00DE2D95"/>
    <w:rsid w:val="00DE346A"/>
    <w:rsid w:val="00DE652E"/>
    <w:rsid w:val="00DF09D9"/>
    <w:rsid w:val="00DF1190"/>
    <w:rsid w:val="00DF7024"/>
    <w:rsid w:val="00E0006D"/>
    <w:rsid w:val="00E03F0F"/>
    <w:rsid w:val="00E05012"/>
    <w:rsid w:val="00E12A20"/>
    <w:rsid w:val="00E1746A"/>
    <w:rsid w:val="00E22491"/>
    <w:rsid w:val="00E228BC"/>
    <w:rsid w:val="00E26ED7"/>
    <w:rsid w:val="00E271C5"/>
    <w:rsid w:val="00E31EE9"/>
    <w:rsid w:val="00E416FC"/>
    <w:rsid w:val="00E4207B"/>
    <w:rsid w:val="00E42DDD"/>
    <w:rsid w:val="00E432B3"/>
    <w:rsid w:val="00E44F36"/>
    <w:rsid w:val="00E45AAD"/>
    <w:rsid w:val="00E45C84"/>
    <w:rsid w:val="00E523C5"/>
    <w:rsid w:val="00E60E52"/>
    <w:rsid w:val="00E625EF"/>
    <w:rsid w:val="00E67574"/>
    <w:rsid w:val="00E678B2"/>
    <w:rsid w:val="00E71DAD"/>
    <w:rsid w:val="00E73B71"/>
    <w:rsid w:val="00E8066F"/>
    <w:rsid w:val="00E92B1C"/>
    <w:rsid w:val="00E93922"/>
    <w:rsid w:val="00E94144"/>
    <w:rsid w:val="00E95E53"/>
    <w:rsid w:val="00E96AE1"/>
    <w:rsid w:val="00E97ED5"/>
    <w:rsid w:val="00EA2DCC"/>
    <w:rsid w:val="00EA3BA8"/>
    <w:rsid w:val="00EA5FF8"/>
    <w:rsid w:val="00EA708E"/>
    <w:rsid w:val="00EA7DDE"/>
    <w:rsid w:val="00EB1B1D"/>
    <w:rsid w:val="00EB22BD"/>
    <w:rsid w:val="00EC03FA"/>
    <w:rsid w:val="00EC16F2"/>
    <w:rsid w:val="00EC64F1"/>
    <w:rsid w:val="00ED316C"/>
    <w:rsid w:val="00ED4C31"/>
    <w:rsid w:val="00ED556F"/>
    <w:rsid w:val="00ED5DA1"/>
    <w:rsid w:val="00EE6853"/>
    <w:rsid w:val="00EE7A5A"/>
    <w:rsid w:val="00EF03D1"/>
    <w:rsid w:val="00EF3F37"/>
    <w:rsid w:val="00F075F0"/>
    <w:rsid w:val="00F1133D"/>
    <w:rsid w:val="00F16071"/>
    <w:rsid w:val="00F16D4D"/>
    <w:rsid w:val="00F2448A"/>
    <w:rsid w:val="00F2526C"/>
    <w:rsid w:val="00F263E6"/>
    <w:rsid w:val="00F27CBF"/>
    <w:rsid w:val="00F41785"/>
    <w:rsid w:val="00F419D5"/>
    <w:rsid w:val="00F41EB4"/>
    <w:rsid w:val="00F475AC"/>
    <w:rsid w:val="00F560AC"/>
    <w:rsid w:val="00F6350F"/>
    <w:rsid w:val="00F64628"/>
    <w:rsid w:val="00F660B1"/>
    <w:rsid w:val="00F66C91"/>
    <w:rsid w:val="00F7131D"/>
    <w:rsid w:val="00F71516"/>
    <w:rsid w:val="00F716C7"/>
    <w:rsid w:val="00F72EE0"/>
    <w:rsid w:val="00F76177"/>
    <w:rsid w:val="00F763FF"/>
    <w:rsid w:val="00F76928"/>
    <w:rsid w:val="00F77103"/>
    <w:rsid w:val="00F815A1"/>
    <w:rsid w:val="00F82836"/>
    <w:rsid w:val="00F82AE1"/>
    <w:rsid w:val="00F87919"/>
    <w:rsid w:val="00F93A8B"/>
    <w:rsid w:val="00FA2ACF"/>
    <w:rsid w:val="00FA646E"/>
    <w:rsid w:val="00FB77A2"/>
    <w:rsid w:val="00FC12D1"/>
    <w:rsid w:val="00FC1594"/>
    <w:rsid w:val="00FC32EE"/>
    <w:rsid w:val="00FC7F8A"/>
    <w:rsid w:val="00FD189F"/>
    <w:rsid w:val="00FD3E3B"/>
    <w:rsid w:val="00FD4014"/>
    <w:rsid w:val="00FE5E7D"/>
    <w:rsid w:val="00FF2314"/>
    <w:rsid w:val="00FF4240"/>
    <w:rsid w:val="00FF4CA0"/>
    <w:rsid w:val="00FF56D6"/>
    <w:rsid w:val="00FF581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DE6D58"/>
  <w15:chartTrackingRefBased/>
  <w15:docId w15:val="{5AF90748-9343-4DC9-A0A0-CD67963B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64D"/>
    <w:pPr>
      <w:spacing w:after="200" w:line="276"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62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uiPriority w:val="9"/>
    <w:semiHidden/>
    <w:unhideWhenUsed/>
    <w:qFormat/>
    <w:rsid w:val="00E67574"/>
    <w:pPr>
      <w:keepNext/>
      <w:keepLines/>
      <w:spacing w:before="40" w:after="0"/>
      <w:outlineLvl w:val="5"/>
    </w:pPr>
    <w:rPr>
      <w:rFonts w:asciiTheme="majorHAnsi" w:eastAsiaTheme="majorEastAsia" w:hAnsiTheme="majorHAnsi" w:cstheme="majorBidi"/>
      <w:color w:val="1F3763" w:themeColor="accent1" w:themeShade="7F"/>
      <w:lang w:val="id-ID"/>
    </w:rPr>
  </w:style>
  <w:style w:type="paragraph" w:styleId="Heading8">
    <w:name w:val="heading 8"/>
    <w:basedOn w:val="Normal"/>
    <w:next w:val="Normal"/>
    <w:link w:val="Heading8Char"/>
    <w:uiPriority w:val="9"/>
    <w:semiHidden/>
    <w:unhideWhenUsed/>
    <w:qFormat/>
    <w:rsid w:val="00461258"/>
    <w:pPr>
      <w:keepNext/>
      <w:keepLines/>
      <w:spacing w:before="40" w:after="0"/>
      <w:outlineLvl w:val="7"/>
    </w:pPr>
    <w:rPr>
      <w:rFonts w:asciiTheme="majorHAnsi" w:eastAsiaTheme="majorEastAsia" w:hAnsiTheme="majorHAnsi" w:cstheme="majorBidi"/>
      <w:color w:val="272727" w:themeColor="text1" w:themeTint="D8"/>
      <w:sz w:val="21"/>
      <w:szCs w:val="21"/>
      <w:lang w:val="id-ID"/>
    </w:rPr>
  </w:style>
  <w:style w:type="paragraph" w:styleId="Heading9">
    <w:name w:val="heading 9"/>
    <w:basedOn w:val="Normal"/>
    <w:next w:val="Normal"/>
    <w:link w:val="Heading9Char"/>
    <w:uiPriority w:val="9"/>
    <w:semiHidden/>
    <w:unhideWhenUsed/>
    <w:qFormat/>
    <w:rsid w:val="00E67574"/>
    <w:pPr>
      <w:keepNext/>
      <w:keepLines/>
      <w:spacing w:before="40" w:after="0"/>
      <w:outlineLvl w:val="8"/>
    </w:pPr>
    <w:rPr>
      <w:rFonts w:asciiTheme="majorHAnsi" w:eastAsiaTheme="majorEastAsia" w:hAnsiTheme="majorHAnsi" w:cstheme="majorBidi"/>
      <w:i/>
      <w:iCs/>
      <w:color w:val="272727" w:themeColor="text1" w:themeTint="D8"/>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6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64D"/>
    <w:rPr>
      <w:rFonts w:ascii="Calibri" w:eastAsia="Calibri" w:hAnsi="Calibri" w:cs="Times New Roman"/>
      <w:lang w:val="id-ID"/>
    </w:rPr>
  </w:style>
  <w:style w:type="paragraph" w:styleId="Footer">
    <w:name w:val="footer"/>
    <w:basedOn w:val="Normal"/>
    <w:link w:val="FooterChar"/>
    <w:uiPriority w:val="99"/>
    <w:unhideWhenUsed/>
    <w:rsid w:val="006C6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64D"/>
    <w:rPr>
      <w:rFonts w:ascii="Calibri" w:eastAsia="Calibri" w:hAnsi="Calibri" w:cs="Times New Roman"/>
      <w:lang w:val="id-ID"/>
    </w:rPr>
  </w:style>
  <w:style w:type="character" w:styleId="CommentReference">
    <w:name w:val="annotation reference"/>
    <w:uiPriority w:val="99"/>
    <w:semiHidden/>
    <w:unhideWhenUsed/>
    <w:rsid w:val="006C664D"/>
    <w:rPr>
      <w:sz w:val="18"/>
      <w:szCs w:val="18"/>
    </w:rPr>
  </w:style>
  <w:style w:type="character" w:styleId="Hyperlink">
    <w:name w:val="Hyperlink"/>
    <w:uiPriority w:val="99"/>
    <w:unhideWhenUsed/>
    <w:rsid w:val="006C664D"/>
    <w:rPr>
      <w:color w:val="0000FF"/>
      <w:u w:val="single"/>
    </w:rPr>
  </w:style>
  <w:style w:type="paragraph" w:styleId="FootnoteText">
    <w:name w:val="footnote text"/>
    <w:basedOn w:val="Normal"/>
    <w:link w:val="FootnoteTextChar"/>
    <w:uiPriority w:val="99"/>
    <w:semiHidden/>
    <w:unhideWhenUsed/>
    <w:rsid w:val="006C66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664D"/>
    <w:rPr>
      <w:rFonts w:ascii="Calibri" w:eastAsia="Calibri" w:hAnsi="Calibri" w:cs="Times New Roman"/>
      <w:sz w:val="20"/>
      <w:szCs w:val="20"/>
      <w:lang w:val="id-ID"/>
    </w:rPr>
  </w:style>
  <w:style w:type="character" w:styleId="FootnoteReference">
    <w:name w:val="footnote reference"/>
    <w:basedOn w:val="DefaultParagraphFont"/>
    <w:uiPriority w:val="99"/>
    <w:semiHidden/>
    <w:unhideWhenUsed/>
    <w:rsid w:val="006C664D"/>
    <w:rPr>
      <w:vertAlign w:val="superscript"/>
    </w:rPr>
  </w:style>
  <w:style w:type="table" w:styleId="TableGrid">
    <w:name w:val="Table Grid"/>
    <w:basedOn w:val="TableNormal"/>
    <w:uiPriority w:val="39"/>
    <w:rsid w:val="006C6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B03C1"/>
    <w:rPr>
      <w:color w:val="605E5C"/>
      <w:shd w:val="clear" w:color="auto" w:fill="E1DFDD"/>
    </w:rPr>
  </w:style>
  <w:style w:type="table" w:styleId="ListTable6Colorful">
    <w:name w:val="List Table 6 Colorful"/>
    <w:basedOn w:val="TableNormal"/>
    <w:uiPriority w:val="51"/>
    <w:rsid w:val="00CD373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054F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2127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13"/>
    <w:rPr>
      <w:rFonts w:ascii="Segoe UI" w:eastAsia="Calibri" w:hAnsi="Segoe UI" w:cs="Segoe UI"/>
      <w:sz w:val="18"/>
      <w:szCs w:val="18"/>
      <w:lang w:val="id-ID"/>
    </w:rPr>
  </w:style>
  <w:style w:type="paragraph" w:styleId="CommentText">
    <w:name w:val="annotation text"/>
    <w:basedOn w:val="Normal"/>
    <w:link w:val="CommentTextChar"/>
    <w:uiPriority w:val="99"/>
    <w:unhideWhenUsed/>
    <w:rsid w:val="00A563E0"/>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A563E0"/>
    <w:rPr>
      <w:sz w:val="20"/>
      <w:szCs w:val="20"/>
      <w:lang w:val="id-ID"/>
    </w:rPr>
  </w:style>
  <w:style w:type="paragraph" w:styleId="ListParagraph">
    <w:name w:val="List Paragraph"/>
    <w:basedOn w:val="Normal"/>
    <w:uiPriority w:val="34"/>
    <w:qFormat/>
    <w:rsid w:val="00727AD6"/>
    <w:pPr>
      <w:ind w:left="720"/>
      <w:contextualSpacing/>
    </w:pPr>
  </w:style>
  <w:style w:type="character" w:styleId="EndnoteReference">
    <w:name w:val="endnote reference"/>
    <w:basedOn w:val="DefaultParagraphFont"/>
    <w:uiPriority w:val="99"/>
    <w:semiHidden/>
    <w:unhideWhenUsed/>
    <w:rsid w:val="00B8743E"/>
    <w:rPr>
      <w:vertAlign w:val="superscript"/>
    </w:rPr>
  </w:style>
  <w:style w:type="table" w:styleId="ListTable6Colorful-Accent5">
    <w:name w:val="List Table 6 Colorful Accent 5"/>
    <w:basedOn w:val="TableNormal"/>
    <w:uiPriority w:val="51"/>
    <w:rsid w:val="0055699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semiHidden/>
    <w:rsid w:val="00262D0B"/>
    <w:rPr>
      <w:rFonts w:asciiTheme="majorHAnsi" w:eastAsiaTheme="majorEastAsia" w:hAnsiTheme="majorHAnsi" w:cstheme="majorBidi"/>
      <w:color w:val="2F5496" w:themeColor="accent1" w:themeShade="BF"/>
      <w:sz w:val="26"/>
      <w:szCs w:val="26"/>
      <w:lang w:val="id-ID"/>
    </w:rPr>
  </w:style>
  <w:style w:type="paragraph" w:styleId="CommentSubject">
    <w:name w:val="annotation subject"/>
    <w:basedOn w:val="CommentText"/>
    <w:next w:val="CommentText"/>
    <w:link w:val="CommentSubjectChar"/>
    <w:uiPriority w:val="99"/>
    <w:semiHidden/>
    <w:unhideWhenUsed/>
    <w:rsid w:val="00E523C5"/>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E523C5"/>
    <w:rPr>
      <w:rFonts w:ascii="Calibri" w:eastAsia="Calibri" w:hAnsi="Calibri" w:cs="Times New Roman"/>
      <w:b/>
      <w:bCs/>
      <w:sz w:val="20"/>
      <w:szCs w:val="20"/>
      <w:lang w:val="id-ID"/>
    </w:rPr>
  </w:style>
  <w:style w:type="character" w:customStyle="1" w:styleId="Heading8Char">
    <w:name w:val="Heading 8 Char"/>
    <w:basedOn w:val="DefaultParagraphFont"/>
    <w:link w:val="Heading8"/>
    <w:uiPriority w:val="9"/>
    <w:semiHidden/>
    <w:rsid w:val="00461258"/>
    <w:rPr>
      <w:rFonts w:asciiTheme="majorHAnsi" w:eastAsiaTheme="majorEastAsia" w:hAnsiTheme="majorHAnsi" w:cstheme="majorBidi"/>
      <w:color w:val="272727" w:themeColor="text1" w:themeTint="D8"/>
      <w:sz w:val="21"/>
      <w:szCs w:val="21"/>
      <w:lang w:val="id-ID"/>
    </w:rPr>
  </w:style>
  <w:style w:type="table" w:styleId="GridTable2-Accent5">
    <w:name w:val="Grid Table 2 Accent 5"/>
    <w:basedOn w:val="TableNormal"/>
    <w:uiPriority w:val="47"/>
    <w:rsid w:val="00461258"/>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6Char">
    <w:name w:val="Heading 6 Char"/>
    <w:basedOn w:val="DefaultParagraphFont"/>
    <w:link w:val="Heading6"/>
    <w:uiPriority w:val="9"/>
    <w:semiHidden/>
    <w:rsid w:val="00E67574"/>
    <w:rPr>
      <w:rFonts w:asciiTheme="majorHAnsi" w:eastAsiaTheme="majorEastAsia" w:hAnsiTheme="majorHAnsi" w:cstheme="majorBidi"/>
      <w:color w:val="1F3763" w:themeColor="accent1" w:themeShade="7F"/>
      <w:lang w:val="id-ID"/>
    </w:rPr>
  </w:style>
  <w:style w:type="character" w:customStyle="1" w:styleId="Heading9Char">
    <w:name w:val="Heading 9 Char"/>
    <w:basedOn w:val="DefaultParagraphFont"/>
    <w:link w:val="Heading9"/>
    <w:uiPriority w:val="9"/>
    <w:semiHidden/>
    <w:rsid w:val="00E67574"/>
    <w:rPr>
      <w:rFonts w:asciiTheme="majorHAnsi" w:eastAsiaTheme="majorEastAsia" w:hAnsiTheme="majorHAnsi" w:cstheme="majorBidi"/>
      <w:i/>
      <w:iCs/>
      <w:color w:val="272727" w:themeColor="text1" w:themeTint="D8"/>
      <w:sz w:val="21"/>
      <w:szCs w:val="21"/>
      <w:lang w:val="id-ID"/>
    </w:rPr>
  </w:style>
  <w:style w:type="paragraph" w:styleId="BodyText3">
    <w:name w:val="Body Text 3"/>
    <w:basedOn w:val="Normal"/>
    <w:link w:val="BodyText3Char"/>
    <w:uiPriority w:val="99"/>
    <w:rsid w:val="00815C57"/>
    <w:pPr>
      <w:spacing w:after="160" w:line="259" w:lineRule="auto"/>
    </w:pPr>
    <w:rPr>
      <w:rFonts w:ascii="Times New Roman" w:eastAsia="Times New Roman" w:hAnsi="Times New Roman"/>
      <w:sz w:val="24"/>
      <w:szCs w:val="24"/>
      <w:lang w:eastAsia="id-ID"/>
    </w:rPr>
  </w:style>
  <w:style w:type="character" w:customStyle="1" w:styleId="BodyText3Char">
    <w:name w:val="Body Text 3 Char"/>
    <w:basedOn w:val="DefaultParagraphFont"/>
    <w:link w:val="BodyText3"/>
    <w:uiPriority w:val="99"/>
    <w:rsid w:val="00815C57"/>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97167C"/>
    <w:rPr>
      <w:rFonts w:ascii="Times New Roman" w:hAnsi="Times New Roman"/>
      <w:sz w:val="24"/>
      <w:szCs w:val="24"/>
    </w:rPr>
  </w:style>
  <w:style w:type="character" w:styleId="UnresolvedMention">
    <w:name w:val="Unresolved Mention"/>
    <w:basedOn w:val="DefaultParagraphFont"/>
    <w:uiPriority w:val="99"/>
    <w:semiHidden/>
    <w:unhideWhenUsed/>
    <w:rsid w:val="00E45C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6768">
      <w:bodyDiv w:val="1"/>
      <w:marLeft w:val="0"/>
      <w:marRight w:val="0"/>
      <w:marTop w:val="0"/>
      <w:marBottom w:val="0"/>
      <w:divBdr>
        <w:top w:val="none" w:sz="0" w:space="0" w:color="auto"/>
        <w:left w:val="none" w:sz="0" w:space="0" w:color="auto"/>
        <w:bottom w:val="none" w:sz="0" w:space="0" w:color="auto"/>
        <w:right w:val="none" w:sz="0" w:space="0" w:color="auto"/>
      </w:divBdr>
    </w:div>
    <w:div w:id="366949335">
      <w:bodyDiv w:val="1"/>
      <w:marLeft w:val="0"/>
      <w:marRight w:val="0"/>
      <w:marTop w:val="0"/>
      <w:marBottom w:val="0"/>
      <w:divBdr>
        <w:top w:val="none" w:sz="0" w:space="0" w:color="auto"/>
        <w:left w:val="none" w:sz="0" w:space="0" w:color="auto"/>
        <w:bottom w:val="none" w:sz="0" w:space="0" w:color="auto"/>
        <w:right w:val="none" w:sz="0" w:space="0" w:color="auto"/>
      </w:divBdr>
    </w:div>
    <w:div w:id="775834779">
      <w:bodyDiv w:val="1"/>
      <w:marLeft w:val="0"/>
      <w:marRight w:val="0"/>
      <w:marTop w:val="0"/>
      <w:marBottom w:val="0"/>
      <w:divBdr>
        <w:top w:val="none" w:sz="0" w:space="0" w:color="auto"/>
        <w:left w:val="none" w:sz="0" w:space="0" w:color="auto"/>
        <w:bottom w:val="none" w:sz="0" w:space="0" w:color="auto"/>
        <w:right w:val="none" w:sz="0" w:space="0" w:color="auto"/>
      </w:divBdr>
    </w:div>
    <w:div w:id="841436213">
      <w:bodyDiv w:val="1"/>
      <w:marLeft w:val="0"/>
      <w:marRight w:val="0"/>
      <w:marTop w:val="0"/>
      <w:marBottom w:val="0"/>
      <w:divBdr>
        <w:top w:val="none" w:sz="0" w:space="0" w:color="auto"/>
        <w:left w:val="none" w:sz="0" w:space="0" w:color="auto"/>
        <w:bottom w:val="none" w:sz="0" w:space="0" w:color="auto"/>
        <w:right w:val="none" w:sz="0" w:space="0" w:color="auto"/>
      </w:divBdr>
    </w:div>
    <w:div w:id="859272000">
      <w:bodyDiv w:val="1"/>
      <w:marLeft w:val="0"/>
      <w:marRight w:val="0"/>
      <w:marTop w:val="0"/>
      <w:marBottom w:val="0"/>
      <w:divBdr>
        <w:top w:val="none" w:sz="0" w:space="0" w:color="auto"/>
        <w:left w:val="none" w:sz="0" w:space="0" w:color="auto"/>
        <w:bottom w:val="none" w:sz="0" w:space="0" w:color="auto"/>
        <w:right w:val="none" w:sz="0" w:space="0" w:color="auto"/>
      </w:divBdr>
    </w:div>
    <w:div w:id="1156652775">
      <w:bodyDiv w:val="1"/>
      <w:marLeft w:val="0"/>
      <w:marRight w:val="0"/>
      <w:marTop w:val="0"/>
      <w:marBottom w:val="0"/>
      <w:divBdr>
        <w:top w:val="none" w:sz="0" w:space="0" w:color="auto"/>
        <w:left w:val="none" w:sz="0" w:space="0" w:color="auto"/>
        <w:bottom w:val="none" w:sz="0" w:space="0" w:color="auto"/>
        <w:right w:val="none" w:sz="0" w:space="0" w:color="auto"/>
      </w:divBdr>
    </w:div>
    <w:div w:id="1168666486">
      <w:bodyDiv w:val="1"/>
      <w:marLeft w:val="0"/>
      <w:marRight w:val="0"/>
      <w:marTop w:val="0"/>
      <w:marBottom w:val="0"/>
      <w:divBdr>
        <w:top w:val="none" w:sz="0" w:space="0" w:color="auto"/>
        <w:left w:val="none" w:sz="0" w:space="0" w:color="auto"/>
        <w:bottom w:val="none" w:sz="0" w:space="0" w:color="auto"/>
        <w:right w:val="none" w:sz="0" w:space="0" w:color="auto"/>
      </w:divBdr>
    </w:div>
    <w:div w:id="1373264975">
      <w:bodyDiv w:val="1"/>
      <w:marLeft w:val="0"/>
      <w:marRight w:val="0"/>
      <w:marTop w:val="0"/>
      <w:marBottom w:val="0"/>
      <w:divBdr>
        <w:top w:val="none" w:sz="0" w:space="0" w:color="auto"/>
        <w:left w:val="none" w:sz="0" w:space="0" w:color="auto"/>
        <w:bottom w:val="none" w:sz="0" w:space="0" w:color="auto"/>
        <w:right w:val="none" w:sz="0" w:space="0" w:color="auto"/>
      </w:divBdr>
    </w:div>
    <w:div w:id="186563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doi.org/10.36733/medicamento.v12i1.13597"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nc-nd/4.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rymbhi@unmas.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6733/medicamento.v12i1.13597"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medicamento.unmas.ac.i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medicamento.unmas.ac.i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medicamento.unma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810C5-7491-440A-80FC-A91F19DE7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26527</Words>
  <Characters>151204</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 Made Dharma Shantini Suena</dc:creator>
  <cp:keywords/>
  <dc:description/>
  <cp:lastModifiedBy>Ni Made Dharma Shantini Suena</cp:lastModifiedBy>
  <cp:revision>72</cp:revision>
  <cp:lastPrinted>2026-03-13T14:11:00Z</cp:lastPrinted>
  <dcterms:created xsi:type="dcterms:W3CDTF">2026-03-11T09:22:00Z</dcterms:created>
  <dcterms:modified xsi:type="dcterms:W3CDTF">2026-03-13T14:14:00Z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b9cc3cae-4880-4d33-8f84-fb2370fce2da</vt:lpwstr>
  </property>
  <property fmtid="{D5CDD505-2E9C-101B-9397-08002B2CF9AE}" pid="3" name="Mendeley Recent Style Id 0_1">
    <vt:lpwstr>http://www.zotero.org/styles/american-medical-association-no-et-al</vt:lpwstr>
  </property>
  <property fmtid="{D5CDD505-2E9C-101B-9397-08002B2CF9AE}" pid="4" name="Mendeley Recent Style Name 0_1">
    <vt:lpwstr>AMA Manual of Style 11th edition (no "et al.")</vt:lpwstr>
  </property>
  <property fmtid="{D5CDD505-2E9C-101B-9397-08002B2CF9AE}" pid="5" name="Mendeley Recent Style Id 1_1">
    <vt:lpwstr>http://www.zotero.org/styles/american-medical-association</vt:lpwstr>
  </property>
  <property fmtid="{D5CDD505-2E9C-101B-9397-08002B2CF9AE}" pid="6" name="Mendeley Recent Style Name 1_1">
    <vt:lpwstr>American Medical Association 11th edition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http://www.zotero.org/styles/elsevier-harvard</vt:lpwstr>
  </property>
  <property fmtid="{D5CDD505-2E9C-101B-9397-08002B2CF9AE}" pid="16" name="Mendeley Recent Style Name 6_1">
    <vt:lpwstr>Elsevier - Harvard (with titles)</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http://www.zotero.org/styles/modern-humanities-research-association</vt:lpwstr>
  </property>
  <property fmtid="{D5CDD505-2E9C-101B-9397-08002B2CF9AE}" pid="20" name="Mendeley Recent Style Name 8_1">
    <vt:lpwstr>Modern Humanities Research Association 3rd edition (note with bibliography)</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a0462e6f-024a-3b22-bd79-89469b1a586f</vt:lpwstr>
  </property>
  <property fmtid="{D5CDD505-2E9C-101B-9397-08002B2CF9AE}" pid="25" name="Mendeley Citation Style_1">
    <vt:lpwstr>http://www.zotero.org/styles/american-medical-association-no-et-al</vt:lpwstr>
  </property>
</Properties>
</file>